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EB" w:rsidRDefault="00F608EB" w:rsidP="00F608EB">
      <w:pPr>
        <w:pStyle w:val="CM72"/>
        <w:spacing w:line="400" w:lineRule="exact"/>
        <w:rPr>
          <w:rFonts w:cs="ＭＳ 明朝"/>
          <w:color w:val="000000"/>
          <w:sz w:val="22"/>
          <w:szCs w:val="22"/>
        </w:rPr>
      </w:pPr>
      <w:r>
        <w:rPr>
          <w:rFonts w:cs="ＭＳ 明朝" w:hint="eastAsia"/>
          <w:color w:val="000000"/>
          <w:sz w:val="22"/>
          <w:szCs w:val="22"/>
        </w:rPr>
        <w:t>付録７</w:t>
      </w:r>
    </w:p>
    <w:p w:rsidR="00F608EB" w:rsidRDefault="00F608EB" w:rsidP="00F608EB">
      <w:pPr>
        <w:pStyle w:val="CM72"/>
        <w:spacing w:line="400" w:lineRule="exact"/>
        <w:jc w:val="right"/>
        <w:rPr>
          <w:rFonts w:cs="ＭＳ 明朝"/>
          <w:color w:val="000000"/>
          <w:sz w:val="22"/>
          <w:szCs w:val="22"/>
        </w:rPr>
      </w:pPr>
      <w:r>
        <w:rPr>
          <w:rFonts w:cs="ＭＳ 明朝" w:hint="eastAsia"/>
          <w:color w:val="000000"/>
          <w:sz w:val="22"/>
          <w:szCs w:val="22"/>
        </w:rPr>
        <w:t>平成24年4月16日</w:t>
      </w:r>
    </w:p>
    <w:p w:rsidR="00F608EB" w:rsidRPr="006A0FF7" w:rsidRDefault="00F608EB" w:rsidP="00F608EB">
      <w:pPr>
        <w:pStyle w:val="Default"/>
        <w:rPr>
          <w:rFonts w:cs="ＭＳ 明朝"/>
        </w:rPr>
      </w:pPr>
    </w:p>
    <w:p w:rsidR="00F608EB" w:rsidRDefault="00F608EB" w:rsidP="00F608EB">
      <w:pPr>
        <w:pStyle w:val="CM72"/>
        <w:spacing w:line="400" w:lineRule="exact"/>
        <w:jc w:val="center"/>
        <w:rPr>
          <w:rFonts w:cs="ＭＳ 明朝"/>
          <w:color w:val="000000"/>
          <w:sz w:val="22"/>
          <w:szCs w:val="22"/>
        </w:rPr>
      </w:pPr>
      <w:r>
        <w:rPr>
          <w:rFonts w:cs="ＭＳ 明朝" w:hint="eastAsia"/>
          <w:color w:val="000000"/>
          <w:sz w:val="22"/>
          <w:szCs w:val="22"/>
        </w:rPr>
        <w:t>独立行政法人国立病院機構高崎総合医療センターにおける</w:t>
      </w:r>
    </w:p>
    <w:p w:rsidR="00F608EB" w:rsidRDefault="00F608EB" w:rsidP="00F608EB">
      <w:pPr>
        <w:pStyle w:val="CM72"/>
        <w:spacing w:line="400" w:lineRule="exact"/>
        <w:jc w:val="center"/>
        <w:rPr>
          <w:rFonts w:cs="ＭＳ 明朝"/>
          <w:color w:val="000000"/>
          <w:sz w:val="22"/>
          <w:szCs w:val="22"/>
        </w:rPr>
      </w:pPr>
      <w:r>
        <w:rPr>
          <w:rFonts w:cs="ＭＳ 明朝" w:hint="eastAsia"/>
          <w:color w:val="000000"/>
          <w:sz w:val="22"/>
          <w:szCs w:val="22"/>
        </w:rPr>
        <w:t>治験等会計事務処理等の業務手順書</w:t>
      </w:r>
    </w:p>
    <w:p w:rsidR="00F608EB" w:rsidRDefault="00F608EB" w:rsidP="00F608EB">
      <w:pPr>
        <w:pStyle w:val="Default"/>
        <w:rPr>
          <w:rFonts w:cs="ＭＳ 明朝"/>
        </w:rPr>
      </w:pPr>
    </w:p>
    <w:p w:rsidR="00F608EB" w:rsidRDefault="00F608EB" w:rsidP="00F608EB">
      <w:pPr>
        <w:pStyle w:val="Default"/>
        <w:numPr>
          <w:ilvl w:val="0"/>
          <w:numId w:val="1"/>
        </w:numPr>
        <w:spacing w:line="500" w:lineRule="exact"/>
        <w:rPr>
          <w:sz w:val="20"/>
          <w:szCs w:val="20"/>
        </w:rPr>
      </w:pPr>
      <w:r>
        <w:rPr>
          <w:rFonts w:hint="eastAsia"/>
          <w:sz w:val="20"/>
          <w:szCs w:val="20"/>
        </w:rPr>
        <w:t>はじめに</w:t>
      </w:r>
    </w:p>
    <w:p w:rsidR="00F608EB" w:rsidRDefault="00F608EB" w:rsidP="00F608EB">
      <w:pPr>
        <w:pStyle w:val="Default"/>
        <w:spacing w:line="500" w:lineRule="exact"/>
        <w:ind w:left="200" w:hangingChars="100" w:hanging="200"/>
        <w:rPr>
          <w:sz w:val="20"/>
          <w:szCs w:val="20"/>
        </w:rPr>
      </w:pPr>
      <w:r>
        <w:rPr>
          <w:rFonts w:hint="eastAsia"/>
          <w:sz w:val="20"/>
          <w:szCs w:val="20"/>
        </w:rPr>
        <w:t xml:space="preserve">　　厚生労働省及び文部科学省より「治験等の効率化に関する報告書」が示されたことに伴い、独立行政法人国立病院機構本部総合研究センター治験研究部治験推進室より「治験等会計事務処理の手引」が示された。</w:t>
      </w:r>
    </w:p>
    <w:p w:rsidR="00F608EB" w:rsidRDefault="00F608EB" w:rsidP="00F608EB">
      <w:pPr>
        <w:pStyle w:val="Default"/>
        <w:spacing w:line="500" w:lineRule="exact"/>
        <w:ind w:left="200" w:hangingChars="100" w:hanging="200"/>
        <w:rPr>
          <w:sz w:val="20"/>
          <w:szCs w:val="20"/>
        </w:rPr>
      </w:pPr>
      <w:r>
        <w:rPr>
          <w:rFonts w:hint="eastAsia"/>
          <w:sz w:val="20"/>
          <w:szCs w:val="20"/>
        </w:rPr>
        <w:t xml:space="preserve">　　この手順書は、国立病院機構における治験等受託研究に関して、「治験等の効率化に関する報告書」を踏まえた上で、治験管理システムを活用した会計事務処理の手順や考え方について整理したものである。</w:t>
      </w:r>
    </w:p>
    <w:p w:rsidR="00F608EB" w:rsidRDefault="00F608EB" w:rsidP="00F608EB">
      <w:pPr>
        <w:pStyle w:val="Default"/>
        <w:spacing w:line="500" w:lineRule="exact"/>
        <w:ind w:left="200" w:hangingChars="100" w:hanging="200"/>
        <w:rPr>
          <w:sz w:val="20"/>
          <w:szCs w:val="20"/>
        </w:rPr>
      </w:pPr>
      <w:r>
        <w:rPr>
          <w:rFonts w:hint="eastAsia"/>
          <w:sz w:val="20"/>
          <w:szCs w:val="20"/>
        </w:rPr>
        <w:t xml:space="preserve">　　高崎総合医療センターにおいてもこの手順書に従い、治験等における会計事務処理をおこなうものとする。</w:t>
      </w:r>
    </w:p>
    <w:p w:rsidR="00F608EB" w:rsidRDefault="00F608EB" w:rsidP="00F608EB">
      <w:pPr>
        <w:pStyle w:val="Default"/>
        <w:spacing w:line="500" w:lineRule="exact"/>
        <w:ind w:left="200" w:hangingChars="100" w:hanging="200"/>
        <w:rPr>
          <w:sz w:val="20"/>
          <w:szCs w:val="20"/>
        </w:rPr>
      </w:pPr>
      <w:r>
        <w:rPr>
          <w:rFonts w:hint="eastAsia"/>
          <w:sz w:val="20"/>
          <w:szCs w:val="20"/>
        </w:rPr>
        <w:t xml:space="preserve">　治験等会計事務業務における基本的な事項は</w:t>
      </w:r>
      <w:r>
        <w:rPr>
          <w:rFonts w:hint="eastAsia"/>
          <w:sz w:val="20"/>
          <w:szCs w:val="20"/>
        </w:rPr>
        <w:t>2</w:t>
      </w:r>
      <w:r>
        <w:rPr>
          <w:rFonts w:hint="eastAsia"/>
          <w:sz w:val="20"/>
          <w:szCs w:val="20"/>
        </w:rPr>
        <w:t>頁以降に記載した。</w:t>
      </w:r>
    </w:p>
    <w:p w:rsidR="00F608EB" w:rsidRDefault="00F608EB" w:rsidP="00F608EB">
      <w:pPr>
        <w:pStyle w:val="Default"/>
        <w:spacing w:line="500" w:lineRule="exact"/>
        <w:ind w:leftChars="100" w:left="210" w:firstLineChars="100" w:firstLine="200"/>
        <w:rPr>
          <w:sz w:val="20"/>
          <w:szCs w:val="20"/>
        </w:rPr>
      </w:pPr>
      <w:r>
        <w:rPr>
          <w:rFonts w:hint="eastAsia"/>
          <w:sz w:val="20"/>
          <w:szCs w:val="20"/>
        </w:rPr>
        <w:t>また、病院独自で受託する医薬品・医療機器の臨床試験（製造販売後臨床試験を含む）における固定費、変動費、観察期脱落症例費、経費の算出は、本部案に準じ、下記の通りとする。</w:t>
      </w:r>
    </w:p>
    <w:p w:rsidR="00F608EB" w:rsidRDefault="00F608EB" w:rsidP="00F608EB">
      <w:pPr>
        <w:pStyle w:val="Default"/>
        <w:spacing w:line="500" w:lineRule="exact"/>
        <w:rPr>
          <w:sz w:val="20"/>
          <w:szCs w:val="20"/>
        </w:rPr>
      </w:pPr>
      <w:r>
        <w:rPr>
          <w:rFonts w:hint="eastAsia"/>
          <w:sz w:val="20"/>
          <w:szCs w:val="20"/>
        </w:rPr>
        <w:t>２．高崎総合医療センターにおける取決め</w:t>
      </w:r>
    </w:p>
    <w:p w:rsidR="00F608EB" w:rsidRDefault="00F608EB" w:rsidP="00F608EB">
      <w:pPr>
        <w:pStyle w:val="Default"/>
        <w:numPr>
          <w:ilvl w:val="2"/>
          <w:numId w:val="1"/>
        </w:numPr>
        <w:spacing w:line="500" w:lineRule="exact"/>
        <w:rPr>
          <w:sz w:val="20"/>
          <w:szCs w:val="20"/>
        </w:rPr>
      </w:pPr>
      <w:r>
        <w:rPr>
          <w:rFonts w:hint="eastAsia"/>
          <w:sz w:val="20"/>
          <w:szCs w:val="20"/>
        </w:rPr>
        <w:t>病院独自契約の医薬品・医療機器の臨床試験（製造販売後臨床試験を含む）</w:t>
      </w:r>
    </w:p>
    <w:p w:rsidR="00F608EB" w:rsidRDefault="00F608EB" w:rsidP="00F608EB">
      <w:pPr>
        <w:pStyle w:val="Default"/>
        <w:spacing w:line="300" w:lineRule="exact"/>
        <w:ind w:left="754" w:firstLineChars="100" w:firstLine="200"/>
        <w:rPr>
          <w:sz w:val="20"/>
          <w:szCs w:val="20"/>
        </w:rPr>
      </w:pPr>
      <w:r>
        <w:rPr>
          <w:rFonts w:hint="eastAsia"/>
          <w:sz w:val="20"/>
          <w:szCs w:val="20"/>
        </w:rPr>
        <w:t xml:space="preserve">・固定費　　</w:t>
      </w:r>
      <w:r>
        <w:rPr>
          <w:rFonts w:hint="eastAsia"/>
          <w:sz w:val="20"/>
          <w:szCs w:val="20"/>
        </w:rPr>
        <w:t>30</w:t>
      </w:r>
      <w:r>
        <w:rPr>
          <w:rFonts w:hint="eastAsia"/>
          <w:sz w:val="20"/>
          <w:szCs w:val="20"/>
        </w:rPr>
        <w:t>％</w:t>
      </w:r>
    </w:p>
    <w:p w:rsidR="00F608EB" w:rsidRDefault="00F608EB" w:rsidP="00F608EB">
      <w:pPr>
        <w:pStyle w:val="Default"/>
        <w:spacing w:line="300" w:lineRule="exact"/>
        <w:ind w:left="754" w:firstLineChars="100" w:firstLine="200"/>
        <w:rPr>
          <w:sz w:val="20"/>
          <w:szCs w:val="20"/>
        </w:rPr>
      </w:pPr>
      <w:r>
        <w:rPr>
          <w:rFonts w:hint="eastAsia"/>
          <w:sz w:val="20"/>
          <w:szCs w:val="20"/>
        </w:rPr>
        <w:t xml:space="preserve">・変動費　　</w:t>
      </w:r>
      <w:r>
        <w:rPr>
          <w:rFonts w:hint="eastAsia"/>
          <w:sz w:val="20"/>
          <w:szCs w:val="20"/>
        </w:rPr>
        <w:t>70</w:t>
      </w:r>
      <w:r>
        <w:rPr>
          <w:rFonts w:hint="eastAsia"/>
          <w:sz w:val="20"/>
          <w:szCs w:val="20"/>
        </w:rPr>
        <w:t>％</w:t>
      </w:r>
    </w:p>
    <w:p w:rsidR="00F608EB" w:rsidRDefault="00F608EB" w:rsidP="00F608EB">
      <w:pPr>
        <w:pStyle w:val="Default"/>
        <w:spacing w:line="300" w:lineRule="exact"/>
        <w:ind w:left="754" w:firstLineChars="100" w:firstLine="200"/>
        <w:rPr>
          <w:sz w:val="20"/>
          <w:szCs w:val="20"/>
        </w:rPr>
      </w:pPr>
      <w:r>
        <w:rPr>
          <w:rFonts w:hint="eastAsia"/>
          <w:sz w:val="20"/>
          <w:szCs w:val="20"/>
        </w:rPr>
        <w:t>・変動費の請求時期は、本部案に準じて依頼者と協議の上、決定する</w:t>
      </w:r>
    </w:p>
    <w:p w:rsidR="00F608EB" w:rsidRDefault="00F608EB" w:rsidP="00F608EB">
      <w:pPr>
        <w:pStyle w:val="Default"/>
        <w:spacing w:line="300" w:lineRule="exact"/>
        <w:ind w:left="754" w:firstLineChars="100" w:firstLine="200"/>
        <w:rPr>
          <w:sz w:val="20"/>
          <w:szCs w:val="20"/>
        </w:rPr>
      </w:pPr>
      <w:r>
        <w:rPr>
          <w:rFonts w:hint="eastAsia"/>
          <w:sz w:val="20"/>
          <w:szCs w:val="20"/>
        </w:rPr>
        <w:t xml:space="preserve">・観察期脱落症例費　</w:t>
      </w:r>
      <w:r>
        <w:rPr>
          <w:rFonts w:hint="eastAsia"/>
          <w:sz w:val="20"/>
          <w:szCs w:val="20"/>
        </w:rPr>
        <w:t>5</w:t>
      </w:r>
      <w:r>
        <w:rPr>
          <w:rFonts w:hint="eastAsia"/>
          <w:sz w:val="20"/>
          <w:szCs w:val="20"/>
        </w:rPr>
        <w:t>万円</w:t>
      </w:r>
    </w:p>
    <w:p w:rsidR="00F608EB" w:rsidRDefault="00F608EB" w:rsidP="00F608EB">
      <w:pPr>
        <w:pStyle w:val="Default"/>
        <w:spacing w:line="300" w:lineRule="exact"/>
        <w:ind w:left="754" w:firstLineChars="100" w:firstLine="200"/>
        <w:rPr>
          <w:sz w:val="20"/>
          <w:szCs w:val="20"/>
        </w:rPr>
      </w:pPr>
      <w:r>
        <w:rPr>
          <w:rFonts w:hint="eastAsia"/>
          <w:sz w:val="20"/>
          <w:szCs w:val="20"/>
        </w:rPr>
        <w:t>・契約書は、書式</w:t>
      </w:r>
      <w:r>
        <w:rPr>
          <w:rFonts w:hint="eastAsia"/>
          <w:sz w:val="20"/>
          <w:szCs w:val="20"/>
        </w:rPr>
        <w:t xml:space="preserve">19-1 </w:t>
      </w:r>
      <w:r>
        <w:rPr>
          <w:rFonts w:hint="eastAsia"/>
          <w:sz w:val="20"/>
          <w:szCs w:val="20"/>
        </w:rPr>
        <w:t>を使用する</w:t>
      </w:r>
    </w:p>
    <w:p w:rsidR="00F608EB" w:rsidRDefault="00F608EB" w:rsidP="00F608EB">
      <w:pPr>
        <w:pStyle w:val="Default"/>
        <w:spacing w:line="300" w:lineRule="exact"/>
        <w:ind w:left="754" w:firstLineChars="100" w:firstLine="200"/>
        <w:rPr>
          <w:sz w:val="20"/>
          <w:szCs w:val="20"/>
        </w:rPr>
      </w:pPr>
      <w:r>
        <w:rPr>
          <w:rFonts w:hint="eastAsia"/>
          <w:sz w:val="20"/>
          <w:szCs w:val="20"/>
        </w:rPr>
        <w:t>・覚書は、書式</w:t>
      </w:r>
      <w:r>
        <w:rPr>
          <w:rFonts w:hint="eastAsia"/>
          <w:sz w:val="20"/>
          <w:szCs w:val="20"/>
        </w:rPr>
        <w:t xml:space="preserve">19-3 </w:t>
      </w:r>
      <w:r>
        <w:rPr>
          <w:rFonts w:hint="eastAsia"/>
          <w:sz w:val="20"/>
          <w:szCs w:val="20"/>
        </w:rPr>
        <w:t>を使用する</w:t>
      </w:r>
    </w:p>
    <w:p w:rsidR="00F608EB" w:rsidRDefault="00F608EB" w:rsidP="006A0FF7">
      <w:pPr>
        <w:pStyle w:val="Default"/>
        <w:numPr>
          <w:ilvl w:val="2"/>
          <w:numId w:val="1"/>
        </w:numPr>
        <w:rPr>
          <w:sz w:val="20"/>
          <w:szCs w:val="20"/>
        </w:rPr>
      </w:pPr>
      <w:r>
        <w:rPr>
          <w:rFonts w:hint="eastAsia"/>
          <w:sz w:val="20"/>
          <w:szCs w:val="20"/>
        </w:rPr>
        <w:t>病院独自契約の医薬品・医療機器の臨床試験（製造販売後臨床試験を含む）に係る経費の算出は、</w:t>
      </w:r>
      <w:r w:rsidRPr="00EE6A12">
        <w:rPr>
          <w:rFonts w:hint="eastAsia"/>
          <w:sz w:val="20"/>
          <w:szCs w:val="20"/>
        </w:rPr>
        <w:t>独立行政法人国立病院機構本部「受託研究算定要綱</w:t>
      </w:r>
      <w:r w:rsidRPr="00EE6A12">
        <w:rPr>
          <w:rFonts w:hint="eastAsia"/>
          <w:sz w:val="20"/>
          <w:szCs w:val="20"/>
        </w:rPr>
        <w:t xml:space="preserve"> </w:t>
      </w:r>
      <w:hyperlink r:id="rId6" w:history="1">
        <w:r w:rsidR="006A0FF7" w:rsidRPr="001E4C7C">
          <w:rPr>
            <w:rStyle w:val="a3"/>
            <w:sz w:val="20"/>
            <w:szCs w:val="20"/>
          </w:rPr>
          <w:t>http://www.hosp.go.jp/rese</w:t>
        </w:r>
        <w:bookmarkStart w:id="0" w:name="_GoBack"/>
        <w:bookmarkEnd w:id="0"/>
        <w:r w:rsidR="006A0FF7" w:rsidRPr="001E4C7C">
          <w:rPr>
            <w:rStyle w:val="a3"/>
            <w:sz w:val="20"/>
            <w:szCs w:val="20"/>
          </w:rPr>
          <w:t>a</w:t>
        </w:r>
        <w:r w:rsidR="006A0FF7" w:rsidRPr="001E4C7C">
          <w:rPr>
            <w:rStyle w:val="a3"/>
            <w:sz w:val="20"/>
            <w:szCs w:val="20"/>
          </w:rPr>
          <w:t>rch/cnt1-0_000161.html</w:t>
        </w:r>
      </w:hyperlink>
      <w:r w:rsidR="006A0FF7">
        <w:rPr>
          <w:rFonts w:hint="eastAsia"/>
          <w:sz w:val="20"/>
          <w:szCs w:val="20"/>
        </w:rPr>
        <w:t xml:space="preserve"> </w:t>
      </w:r>
      <w:r w:rsidRPr="00EE6A12">
        <w:rPr>
          <w:rFonts w:hint="eastAsia"/>
          <w:sz w:val="20"/>
          <w:szCs w:val="20"/>
        </w:rPr>
        <w:t>」</w:t>
      </w:r>
      <w:r>
        <w:rPr>
          <w:rFonts w:hint="eastAsia"/>
          <w:sz w:val="20"/>
          <w:szCs w:val="20"/>
        </w:rPr>
        <w:t>を使用し、下記の計算方法で計算する。</w:t>
      </w:r>
    </w:p>
    <w:p w:rsidR="00F608EB" w:rsidRPr="00EE6A12" w:rsidRDefault="00F608EB" w:rsidP="00F608EB">
      <w:pPr>
        <w:pStyle w:val="Default"/>
        <w:ind w:left="752"/>
        <w:rPr>
          <w:sz w:val="20"/>
          <w:szCs w:val="20"/>
        </w:rPr>
      </w:pPr>
    </w:p>
    <w:p w:rsidR="00F608EB" w:rsidRDefault="00F608EB" w:rsidP="00F608EB">
      <w:pPr>
        <w:pStyle w:val="Default"/>
        <w:spacing w:line="300" w:lineRule="exact"/>
        <w:ind w:left="480" w:firstLineChars="300" w:firstLine="600"/>
        <w:jc w:val="both"/>
        <w:rPr>
          <w:color w:val="auto"/>
          <w:sz w:val="20"/>
          <w:szCs w:val="20"/>
        </w:rPr>
      </w:pPr>
      <w:r>
        <w:rPr>
          <w:rFonts w:hint="eastAsia"/>
          <w:color w:val="auto"/>
          <w:sz w:val="20"/>
          <w:szCs w:val="20"/>
        </w:rPr>
        <w:lastRenderedPageBreak/>
        <w:t>・臨床研究経費　・・　（ポイント数）×</w:t>
      </w:r>
      <w:r>
        <w:rPr>
          <w:rFonts w:hint="eastAsia"/>
          <w:color w:val="auto"/>
          <w:sz w:val="20"/>
          <w:szCs w:val="20"/>
        </w:rPr>
        <w:t>1</w:t>
      </w:r>
    </w:p>
    <w:p w:rsidR="00F608EB" w:rsidRDefault="00F608EB" w:rsidP="00F608EB">
      <w:pPr>
        <w:pStyle w:val="Default"/>
        <w:spacing w:line="300" w:lineRule="exact"/>
        <w:ind w:left="480" w:firstLineChars="300" w:firstLine="600"/>
        <w:jc w:val="both"/>
        <w:rPr>
          <w:color w:val="auto"/>
          <w:sz w:val="20"/>
          <w:szCs w:val="20"/>
        </w:rPr>
      </w:pPr>
      <w:r>
        <w:rPr>
          <w:rFonts w:hint="eastAsia"/>
          <w:color w:val="auto"/>
          <w:sz w:val="20"/>
          <w:szCs w:val="20"/>
        </w:rPr>
        <w:t>・</w:t>
      </w:r>
      <w:r>
        <w:rPr>
          <w:rFonts w:hint="eastAsia"/>
          <w:color w:val="auto"/>
          <w:sz w:val="20"/>
          <w:szCs w:val="20"/>
        </w:rPr>
        <w:t>CRC</w:t>
      </w:r>
      <w:r>
        <w:rPr>
          <w:rFonts w:hint="eastAsia"/>
          <w:color w:val="auto"/>
          <w:sz w:val="20"/>
          <w:szCs w:val="20"/>
        </w:rPr>
        <w:t xml:space="preserve">人件費　　</w:t>
      </w:r>
      <w:r>
        <w:rPr>
          <w:rFonts w:hint="eastAsia"/>
          <w:color w:val="auto"/>
          <w:sz w:val="20"/>
          <w:szCs w:val="20"/>
        </w:rPr>
        <w:t xml:space="preserve"> </w:t>
      </w:r>
      <w:r>
        <w:rPr>
          <w:rFonts w:hint="eastAsia"/>
          <w:color w:val="auto"/>
          <w:sz w:val="20"/>
          <w:szCs w:val="20"/>
        </w:rPr>
        <w:t>・・　（ポイント数）×</w:t>
      </w:r>
      <w:r>
        <w:rPr>
          <w:rFonts w:hint="eastAsia"/>
          <w:color w:val="auto"/>
          <w:sz w:val="20"/>
          <w:szCs w:val="20"/>
        </w:rPr>
        <w:t>1.1</w:t>
      </w:r>
    </w:p>
    <w:p w:rsidR="00F608EB" w:rsidRDefault="00F608EB" w:rsidP="00F608EB">
      <w:pPr>
        <w:pStyle w:val="Default"/>
        <w:spacing w:line="300" w:lineRule="exact"/>
        <w:ind w:left="480" w:firstLineChars="300" w:firstLine="600"/>
        <w:jc w:val="both"/>
        <w:rPr>
          <w:color w:val="auto"/>
          <w:sz w:val="20"/>
          <w:szCs w:val="20"/>
        </w:rPr>
      </w:pPr>
      <w:r>
        <w:rPr>
          <w:rFonts w:hint="eastAsia"/>
          <w:color w:val="auto"/>
          <w:sz w:val="20"/>
          <w:szCs w:val="20"/>
        </w:rPr>
        <w:t xml:space="preserve">・施設管理費　</w:t>
      </w:r>
      <w:r>
        <w:rPr>
          <w:rFonts w:hint="eastAsia"/>
          <w:color w:val="auto"/>
          <w:sz w:val="20"/>
          <w:szCs w:val="20"/>
        </w:rPr>
        <w:t xml:space="preserve">  </w:t>
      </w:r>
      <w:r>
        <w:rPr>
          <w:rFonts w:hint="eastAsia"/>
          <w:color w:val="auto"/>
          <w:sz w:val="20"/>
          <w:szCs w:val="20"/>
        </w:rPr>
        <w:t>・・　（ポイント数）×</w:t>
      </w:r>
      <w:r>
        <w:rPr>
          <w:rFonts w:hint="eastAsia"/>
          <w:color w:val="auto"/>
          <w:sz w:val="20"/>
          <w:szCs w:val="20"/>
        </w:rPr>
        <w:t>0.5</w:t>
      </w:r>
    </w:p>
    <w:p w:rsidR="00F608EB" w:rsidRDefault="00F608EB" w:rsidP="00F608EB">
      <w:pPr>
        <w:pStyle w:val="Default"/>
        <w:spacing w:line="300" w:lineRule="exact"/>
        <w:ind w:left="482" w:firstLineChars="300" w:firstLine="600"/>
        <w:jc w:val="both"/>
        <w:rPr>
          <w:color w:val="auto"/>
          <w:sz w:val="20"/>
          <w:szCs w:val="20"/>
        </w:rPr>
      </w:pPr>
      <w:r>
        <w:rPr>
          <w:rFonts w:hint="eastAsia"/>
          <w:color w:val="auto"/>
          <w:sz w:val="20"/>
          <w:szCs w:val="20"/>
        </w:rPr>
        <w:t>・治験薬管理費　・・　（ポイント数）×</w:t>
      </w:r>
      <w:r>
        <w:rPr>
          <w:rFonts w:hint="eastAsia"/>
          <w:color w:val="auto"/>
          <w:sz w:val="20"/>
          <w:szCs w:val="20"/>
        </w:rPr>
        <w:t>0.2</w:t>
      </w:r>
    </w:p>
    <w:p w:rsidR="00F608EB" w:rsidRDefault="00F608EB" w:rsidP="00F608EB">
      <w:pPr>
        <w:pStyle w:val="Default"/>
        <w:spacing w:line="300" w:lineRule="exact"/>
        <w:ind w:left="482" w:firstLineChars="300" w:firstLine="600"/>
        <w:rPr>
          <w:b/>
          <w:color w:val="auto"/>
          <w:sz w:val="20"/>
          <w:szCs w:val="20"/>
        </w:rPr>
      </w:pPr>
      <w:r>
        <w:rPr>
          <w:rFonts w:hint="eastAsia"/>
          <w:color w:val="auto"/>
          <w:sz w:val="20"/>
          <w:szCs w:val="20"/>
        </w:rPr>
        <w:t>・</w:t>
      </w:r>
      <w:r>
        <w:rPr>
          <w:rFonts w:hint="eastAsia"/>
          <w:b/>
          <w:color w:val="auto"/>
          <w:sz w:val="20"/>
          <w:szCs w:val="20"/>
        </w:rPr>
        <w:t>合計</w:t>
      </w:r>
      <w:r>
        <w:rPr>
          <w:rFonts w:hint="eastAsia"/>
          <w:b/>
          <w:color w:val="auto"/>
          <w:sz w:val="20"/>
          <w:szCs w:val="20"/>
        </w:rPr>
        <w:t xml:space="preserve"> </w:t>
      </w:r>
      <w:r>
        <w:rPr>
          <w:rFonts w:hint="eastAsia"/>
          <w:b/>
          <w:color w:val="auto"/>
          <w:sz w:val="20"/>
          <w:szCs w:val="20"/>
        </w:rPr>
        <w:t>＝</w:t>
      </w:r>
      <w:r>
        <w:rPr>
          <w:rFonts w:hint="eastAsia"/>
          <w:b/>
          <w:color w:val="auto"/>
          <w:sz w:val="20"/>
          <w:szCs w:val="20"/>
        </w:rPr>
        <w:t xml:space="preserve">              </w:t>
      </w:r>
      <w:r>
        <w:rPr>
          <w:rFonts w:hint="eastAsia"/>
          <w:b/>
          <w:color w:val="auto"/>
          <w:sz w:val="20"/>
          <w:szCs w:val="20"/>
        </w:rPr>
        <w:t>ポイント数</w:t>
      </w:r>
      <w:r>
        <w:rPr>
          <w:rFonts w:hint="eastAsia"/>
          <w:b/>
          <w:color w:val="auto"/>
          <w:sz w:val="20"/>
          <w:szCs w:val="20"/>
        </w:rPr>
        <w:t xml:space="preserve"> </w:t>
      </w:r>
      <w:r>
        <w:rPr>
          <w:rFonts w:hint="eastAsia"/>
          <w:b/>
          <w:color w:val="auto"/>
          <w:sz w:val="20"/>
          <w:szCs w:val="20"/>
        </w:rPr>
        <w:t>×</w:t>
      </w:r>
      <w:r>
        <w:rPr>
          <w:rFonts w:hint="eastAsia"/>
          <w:b/>
          <w:color w:val="auto"/>
          <w:sz w:val="20"/>
          <w:szCs w:val="20"/>
        </w:rPr>
        <w:t xml:space="preserve"> 2.8</w:t>
      </w:r>
    </w:p>
    <w:p w:rsidR="00F608EB" w:rsidRDefault="00F608EB" w:rsidP="00F608EB">
      <w:pPr>
        <w:pStyle w:val="Default"/>
        <w:numPr>
          <w:ilvl w:val="2"/>
          <w:numId w:val="1"/>
        </w:numPr>
        <w:spacing w:line="500" w:lineRule="exact"/>
        <w:rPr>
          <w:sz w:val="20"/>
          <w:szCs w:val="20"/>
        </w:rPr>
      </w:pPr>
      <w:r>
        <w:rPr>
          <w:rFonts w:hint="eastAsia"/>
          <w:color w:val="auto"/>
          <w:sz w:val="20"/>
          <w:szCs w:val="20"/>
        </w:rPr>
        <w:t>特定使用成績調査の受託研究費</w:t>
      </w:r>
    </w:p>
    <w:p w:rsidR="00F608EB" w:rsidRDefault="00F608EB" w:rsidP="00F608EB">
      <w:pPr>
        <w:pStyle w:val="Default"/>
        <w:spacing w:line="500" w:lineRule="exact"/>
        <w:ind w:left="332" w:firstLineChars="100" w:firstLine="200"/>
        <w:rPr>
          <w:sz w:val="20"/>
          <w:szCs w:val="20"/>
        </w:rPr>
      </w:pPr>
      <w:r>
        <w:rPr>
          <w:rFonts w:hint="eastAsia"/>
          <w:color w:val="auto"/>
          <w:sz w:val="20"/>
          <w:szCs w:val="20"/>
        </w:rPr>
        <w:t>・所要時間が１時間を超える場合は、手順に従い依頼者と協議の上契約額を決定する</w:t>
      </w:r>
    </w:p>
    <w:p w:rsidR="00F608EB" w:rsidRDefault="00F608EB" w:rsidP="00F608EB">
      <w:pPr>
        <w:pStyle w:val="Default"/>
        <w:numPr>
          <w:ilvl w:val="2"/>
          <w:numId w:val="1"/>
        </w:numPr>
        <w:spacing w:line="500" w:lineRule="exact"/>
        <w:rPr>
          <w:sz w:val="20"/>
          <w:szCs w:val="20"/>
        </w:rPr>
      </w:pPr>
      <w:r>
        <w:rPr>
          <w:rFonts w:hint="eastAsia"/>
          <w:sz w:val="20"/>
          <w:szCs w:val="20"/>
        </w:rPr>
        <w:t>機構本部への契約締結と機構本部中央治験審査委員会への審査の依頼、及び審査結果に基づく実施の決定に関する手続きの委任は、委任状（高崎書式４）を使用する。</w:t>
      </w:r>
    </w:p>
    <w:p w:rsidR="006E3A8C" w:rsidRPr="00F608EB" w:rsidRDefault="006A0FF7"/>
    <w:sectPr w:rsidR="006E3A8C" w:rsidRPr="00F608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80081"/>
    <w:multiLevelType w:val="hybridMultilevel"/>
    <w:tmpl w:val="28AE0C6C"/>
    <w:lvl w:ilvl="0" w:tplc="B29821A2">
      <w:start w:val="1"/>
      <w:numFmt w:val="decimalFullWidth"/>
      <w:lvlText w:val="%1．"/>
      <w:lvlJc w:val="left"/>
      <w:pPr>
        <w:ind w:left="622" w:hanging="480"/>
      </w:pPr>
      <w:rPr>
        <w:rFonts w:cs="Times New Roman"/>
      </w:rPr>
    </w:lvl>
    <w:lvl w:ilvl="1" w:tplc="04090017">
      <w:start w:val="1"/>
      <w:numFmt w:val="aiueoFullWidth"/>
      <w:lvlText w:val="(%2)"/>
      <w:lvlJc w:val="left"/>
      <w:pPr>
        <w:ind w:left="332" w:hanging="420"/>
      </w:pPr>
      <w:rPr>
        <w:rFonts w:cs="Times New Roman"/>
      </w:rPr>
    </w:lvl>
    <w:lvl w:ilvl="2" w:tplc="04090011">
      <w:start w:val="1"/>
      <w:numFmt w:val="decimalEnclosedCircle"/>
      <w:lvlText w:val="%3"/>
      <w:lvlJc w:val="left"/>
      <w:pPr>
        <w:ind w:left="752" w:hanging="420"/>
      </w:pPr>
      <w:rPr>
        <w:rFonts w:cs="Times New Roman"/>
      </w:rPr>
    </w:lvl>
    <w:lvl w:ilvl="3" w:tplc="0409000F">
      <w:start w:val="1"/>
      <w:numFmt w:val="decimal"/>
      <w:lvlText w:val="%4."/>
      <w:lvlJc w:val="left"/>
      <w:pPr>
        <w:ind w:left="1172" w:hanging="420"/>
      </w:pPr>
      <w:rPr>
        <w:rFonts w:cs="Times New Roman"/>
      </w:rPr>
    </w:lvl>
    <w:lvl w:ilvl="4" w:tplc="04090017">
      <w:start w:val="1"/>
      <w:numFmt w:val="aiueoFullWidth"/>
      <w:lvlText w:val="(%5)"/>
      <w:lvlJc w:val="left"/>
      <w:pPr>
        <w:ind w:left="1592" w:hanging="420"/>
      </w:pPr>
      <w:rPr>
        <w:rFonts w:cs="Times New Roman"/>
      </w:rPr>
    </w:lvl>
    <w:lvl w:ilvl="5" w:tplc="04090011">
      <w:start w:val="1"/>
      <w:numFmt w:val="decimalEnclosedCircle"/>
      <w:lvlText w:val="%6"/>
      <w:lvlJc w:val="left"/>
      <w:pPr>
        <w:ind w:left="2012" w:hanging="420"/>
      </w:pPr>
      <w:rPr>
        <w:rFonts w:cs="Times New Roman"/>
      </w:rPr>
    </w:lvl>
    <w:lvl w:ilvl="6" w:tplc="0409000F">
      <w:start w:val="1"/>
      <w:numFmt w:val="decimal"/>
      <w:lvlText w:val="%7."/>
      <w:lvlJc w:val="left"/>
      <w:pPr>
        <w:ind w:left="2432" w:hanging="420"/>
      </w:pPr>
      <w:rPr>
        <w:rFonts w:cs="Times New Roman"/>
      </w:rPr>
    </w:lvl>
    <w:lvl w:ilvl="7" w:tplc="04090017">
      <w:start w:val="1"/>
      <w:numFmt w:val="aiueoFullWidth"/>
      <w:lvlText w:val="(%8)"/>
      <w:lvlJc w:val="left"/>
      <w:pPr>
        <w:ind w:left="2852" w:hanging="420"/>
      </w:pPr>
      <w:rPr>
        <w:rFonts w:cs="Times New Roman"/>
      </w:rPr>
    </w:lvl>
    <w:lvl w:ilvl="8" w:tplc="04090011">
      <w:start w:val="1"/>
      <w:numFmt w:val="decimalEnclosedCircle"/>
      <w:lvlText w:val="%9"/>
      <w:lvlJc w:val="left"/>
      <w:pPr>
        <w:ind w:left="3272"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EB"/>
    <w:rsid w:val="00571BE8"/>
    <w:rsid w:val="006A0FF7"/>
    <w:rsid w:val="00C50000"/>
    <w:rsid w:val="00F6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8EB"/>
    <w:pPr>
      <w:widowControl w:val="0"/>
      <w:autoSpaceDE w:val="0"/>
      <w:autoSpaceDN w:val="0"/>
      <w:adjustRightInd w:val="0"/>
    </w:pPr>
    <w:rPr>
      <w:rFonts w:ascii="Century" w:eastAsia="ＭＳ 明朝" w:hAnsi="Century" w:cs="Century"/>
      <w:color w:val="000000"/>
      <w:kern w:val="0"/>
      <w:sz w:val="24"/>
      <w:szCs w:val="24"/>
    </w:rPr>
  </w:style>
  <w:style w:type="paragraph" w:customStyle="1" w:styleId="CM72">
    <w:name w:val="CM72"/>
    <w:basedOn w:val="Default"/>
    <w:next w:val="Default"/>
    <w:uiPriority w:val="99"/>
    <w:rsid w:val="00F608EB"/>
    <w:rPr>
      <w:rFonts w:ascii="ＭＳ 明朝" w:cs="Times New Roman"/>
      <w:color w:val="auto"/>
    </w:rPr>
  </w:style>
  <w:style w:type="character" w:styleId="a3">
    <w:name w:val="Hyperlink"/>
    <w:uiPriority w:val="99"/>
    <w:unhideWhenUsed/>
    <w:rsid w:val="00F608EB"/>
    <w:rPr>
      <w:color w:val="0000FF"/>
      <w:u w:val="single"/>
    </w:rPr>
  </w:style>
  <w:style w:type="character" w:styleId="a4">
    <w:name w:val="FollowedHyperlink"/>
    <w:basedOn w:val="a0"/>
    <w:uiPriority w:val="99"/>
    <w:semiHidden/>
    <w:unhideWhenUsed/>
    <w:rsid w:val="006A0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8EB"/>
    <w:pPr>
      <w:widowControl w:val="0"/>
      <w:autoSpaceDE w:val="0"/>
      <w:autoSpaceDN w:val="0"/>
      <w:adjustRightInd w:val="0"/>
    </w:pPr>
    <w:rPr>
      <w:rFonts w:ascii="Century" w:eastAsia="ＭＳ 明朝" w:hAnsi="Century" w:cs="Century"/>
      <w:color w:val="000000"/>
      <w:kern w:val="0"/>
      <w:sz w:val="24"/>
      <w:szCs w:val="24"/>
    </w:rPr>
  </w:style>
  <w:style w:type="paragraph" w:customStyle="1" w:styleId="CM72">
    <w:name w:val="CM72"/>
    <w:basedOn w:val="Default"/>
    <w:next w:val="Default"/>
    <w:uiPriority w:val="99"/>
    <w:rsid w:val="00F608EB"/>
    <w:rPr>
      <w:rFonts w:ascii="ＭＳ 明朝" w:cs="Times New Roman"/>
      <w:color w:val="auto"/>
    </w:rPr>
  </w:style>
  <w:style w:type="character" w:styleId="a3">
    <w:name w:val="Hyperlink"/>
    <w:uiPriority w:val="99"/>
    <w:unhideWhenUsed/>
    <w:rsid w:val="00F608EB"/>
    <w:rPr>
      <w:color w:val="0000FF"/>
      <w:u w:val="single"/>
    </w:rPr>
  </w:style>
  <w:style w:type="character" w:styleId="a4">
    <w:name w:val="FollowedHyperlink"/>
    <w:basedOn w:val="a0"/>
    <w:uiPriority w:val="99"/>
    <w:semiHidden/>
    <w:unhideWhenUsed/>
    <w:rsid w:val="006A0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p.go.jp/research/cnt1-0_00016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治験-3</dc:creator>
  <cp:lastModifiedBy>治験-3</cp:lastModifiedBy>
  <cp:revision>2</cp:revision>
  <dcterms:created xsi:type="dcterms:W3CDTF">2014-03-11T08:58:00Z</dcterms:created>
  <dcterms:modified xsi:type="dcterms:W3CDTF">2014-12-08T02:12:00Z</dcterms:modified>
</cp:coreProperties>
</file>