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C6" w:rsidRDefault="001C4DC6" w:rsidP="001C4DC6">
      <w:pPr>
        <w:spacing w:line="300" w:lineRule="exact"/>
        <w:jc w:val="left"/>
      </w:pPr>
      <w:r>
        <w:rPr>
          <w:rFonts w:hint="eastAsia"/>
        </w:rPr>
        <w:t>付録１</w:t>
      </w:r>
    </w:p>
    <w:p w:rsidR="001C4DC6" w:rsidRDefault="001C4DC6" w:rsidP="003267E9">
      <w:pPr>
        <w:wordWrap w:val="0"/>
        <w:spacing w:line="300" w:lineRule="exact"/>
        <w:jc w:val="right"/>
        <w:rPr>
          <w:rFonts w:ascii="ＭＳ 明朝" w:hAnsi="ＭＳ 明朝"/>
        </w:rPr>
      </w:pPr>
      <w:r>
        <w:rPr>
          <w:rFonts w:ascii="ＭＳ 明朝" w:hAnsi="ＭＳ 明朝" w:hint="eastAsia"/>
        </w:rPr>
        <w:t>2013.</w:t>
      </w:r>
      <w:r w:rsidR="003267E9">
        <w:rPr>
          <w:rFonts w:ascii="ＭＳ 明朝" w:hAnsi="ＭＳ 明朝" w:hint="eastAsia"/>
        </w:rPr>
        <w:t>0</w:t>
      </w:r>
      <w:r>
        <w:rPr>
          <w:rFonts w:ascii="ＭＳ 明朝" w:hAnsi="ＭＳ 明朝" w:hint="eastAsia"/>
        </w:rPr>
        <w:t>7.26</w:t>
      </w:r>
      <w:r w:rsidR="003267E9">
        <w:rPr>
          <w:rFonts w:ascii="ＭＳ 明朝" w:hAnsi="ＭＳ 明朝" w:hint="eastAsia"/>
        </w:rPr>
        <w:t xml:space="preserve">　第1版</w:t>
      </w:r>
    </w:p>
    <w:p w:rsidR="003267E9" w:rsidRDefault="0018608C" w:rsidP="003267E9">
      <w:pPr>
        <w:wordWrap w:val="0"/>
        <w:spacing w:line="300" w:lineRule="exact"/>
        <w:jc w:val="right"/>
        <w:rPr>
          <w:rFonts w:ascii="ＭＳ 明朝" w:hAnsi="ＭＳ 明朝"/>
        </w:rPr>
      </w:pPr>
      <w:r>
        <w:rPr>
          <w:rFonts w:ascii="ＭＳ 明朝" w:hAnsi="ＭＳ 明朝" w:hint="eastAsia"/>
        </w:rPr>
        <w:t>2015</w:t>
      </w:r>
      <w:bookmarkStart w:id="0" w:name="_GoBack"/>
      <w:bookmarkEnd w:id="0"/>
      <w:r w:rsidR="003267E9">
        <w:rPr>
          <w:rFonts w:ascii="ＭＳ 明朝" w:hAnsi="ＭＳ 明朝" w:hint="eastAsia"/>
        </w:rPr>
        <w:t>.04.01　第2版</w:t>
      </w:r>
    </w:p>
    <w:p w:rsidR="001C4DC6" w:rsidRDefault="001C4DC6" w:rsidP="001C4DC6">
      <w:pPr>
        <w:spacing w:line="300" w:lineRule="exact"/>
        <w:jc w:val="right"/>
        <w:rPr>
          <w:rFonts w:ascii="ＭＳ 明朝" w:hAnsi="ＭＳ 明朝"/>
        </w:rPr>
      </w:pPr>
      <w:r>
        <w:rPr>
          <w:rFonts w:ascii="ＭＳ 明朝" w:hAnsi="ＭＳ 明朝" w:hint="eastAsia"/>
        </w:rPr>
        <w:t>（NHO）高崎総合医療センター</w:t>
      </w:r>
    </w:p>
    <w:p w:rsidR="001C4DC6" w:rsidRDefault="001C4DC6" w:rsidP="001C4DC6">
      <w:pPr>
        <w:rPr>
          <w:rFonts w:ascii="ＭＳ 明朝" w:hAnsi="ＭＳ 明朝"/>
        </w:rPr>
      </w:pPr>
    </w:p>
    <w:p w:rsidR="001C4DC6" w:rsidRDefault="001C4DC6" w:rsidP="001C4DC6">
      <w:pPr>
        <w:rPr>
          <w:rFonts w:ascii="ＭＳ 明朝" w:hAnsi="ＭＳ 明朝"/>
        </w:rPr>
      </w:pPr>
    </w:p>
    <w:p w:rsidR="001C4DC6" w:rsidRDefault="001C4DC6" w:rsidP="001C4DC6">
      <w:pPr>
        <w:jc w:val="center"/>
        <w:rPr>
          <w:rFonts w:ascii="ＭＳ 明朝" w:hAnsi="ＭＳ 明朝"/>
          <w:szCs w:val="21"/>
          <w:u w:val="single"/>
        </w:rPr>
      </w:pPr>
      <w:r>
        <w:rPr>
          <w:rFonts w:ascii="ＭＳ 明朝" w:hAnsi="ＭＳ 明朝" w:hint="eastAsia"/>
          <w:szCs w:val="21"/>
          <w:u w:val="single"/>
        </w:rPr>
        <w:t>治験における診療録の残し方手順</w:t>
      </w:r>
    </w:p>
    <w:p w:rsidR="001C4DC6" w:rsidRDefault="001C4DC6" w:rsidP="001C4DC6">
      <w:pPr>
        <w:jc w:val="center"/>
        <w:rPr>
          <w:rFonts w:ascii="ＭＳ 明朝" w:hAnsi="ＭＳ 明朝"/>
        </w:rPr>
      </w:pPr>
    </w:p>
    <w:p w:rsidR="001C4DC6" w:rsidRDefault="001C4DC6" w:rsidP="001C4DC6">
      <w:pPr>
        <w:rPr>
          <w:rFonts w:ascii="ＭＳ 明朝" w:hAnsi="ＭＳ 明朝"/>
        </w:rPr>
      </w:pPr>
      <w:r>
        <w:rPr>
          <w:rFonts w:ascii="ＭＳ 明朝" w:hAnsi="ＭＳ 明朝" w:hint="eastAsia"/>
        </w:rPr>
        <w:t>１．はじめに</w:t>
      </w:r>
    </w:p>
    <w:p w:rsidR="001C4DC6" w:rsidRDefault="001C4DC6" w:rsidP="001C4DC6">
      <w:pPr>
        <w:ind w:leftChars="100" w:left="210"/>
        <w:rPr>
          <w:rFonts w:ascii="ＭＳ 明朝" w:hAnsi="ＭＳ 明朝"/>
        </w:rPr>
      </w:pPr>
      <w:r>
        <w:rPr>
          <w:rFonts w:ascii="ＭＳ 明朝" w:hAnsi="ＭＳ 明朝" w:hint="eastAsia"/>
        </w:rPr>
        <w:t>ここでは、高崎総合医療センターにおける治験診療録原資料の残し方に関する手順を定めるものとする。</w:t>
      </w:r>
    </w:p>
    <w:p w:rsidR="001C4DC6" w:rsidRDefault="001C4DC6" w:rsidP="001C4DC6">
      <w:pPr>
        <w:rPr>
          <w:rFonts w:ascii="ＭＳ 明朝" w:hAnsi="ＭＳ 明朝"/>
        </w:rPr>
      </w:pPr>
      <w:r>
        <w:rPr>
          <w:rFonts w:ascii="ＭＳ 明朝" w:hAnsi="ＭＳ 明朝" w:hint="eastAsia"/>
        </w:rPr>
        <w:t xml:space="preserve">２．診療録の種類　</w:t>
      </w:r>
    </w:p>
    <w:p w:rsidR="001C4DC6" w:rsidRDefault="001C4DC6" w:rsidP="001C4DC6">
      <w:pPr>
        <w:ind w:firstLineChars="100" w:firstLine="210"/>
        <w:rPr>
          <w:rFonts w:ascii="ＭＳ 明朝" w:hAnsi="ＭＳ 明朝"/>
        </w:rPr>
      </w:pPr>
      <w:r>
        <w:rPr>
          <w:rFonts w:ascii="ＭＳ 明朝" w:hAnsi="ＭＳ 明朝" w:hint="eastAsia"/>
        </w:rPr>
        <w:t>① 紙カルテ</w:t>
      </w:r>
    </w:p>
    <w:p w:rsidR="001C4DC6" w:rsidRDefault="001C4DC6" w:rsidP="001C4DC6">
      <w:pPr>
        <w:ind w:firstLineChars="100" w:firstLine="210"/>
        <w:rPr>
          <w:rFonts w:ascii="ＭＳ 明朝" w:hAnsi="ＭＳ 明朝"/>
        </w:rPr>
      </w:pPr>
      <w:r>
        <w:rPr>
          <w:rFonts w:ascii="ＭＳ 明朝" w:hAnsi="ＭＳ 明朝" w:hint="eastAsia"/>
        </w:rPr>
        <w:t>② 電子カルテ</w:t>
      </w:r>
    </w:p>
    <w:p w:rsidR="001C4DC6" w:rsidRDefault="001C4DC6" w:rsidP="001C4DC6">
      <w:pPr>
        <w:rPr>
          <w:rFonts w:ascii="ＭＳ 明朝" w:hAnsi="ＭＳ 明朝"/>
        </w:rPr>
      </w:pPr>
      <w:r>
        <w:rPr>
          <w:rFonts w:ascii="ＭＳ 明朝" w:hAnsi="ＭＳ 明朝" w:hint="eastAsia"/>
        </w:rPr>
        <w:t>３．紙カルテの残し方</w:t>
      </w:r>
    </w:p>
    <w:p w:rsidR="003267E9" w:rsidRDefault="001C4DC6" w:rsidP="001C4DC6">
      <w:pPr>
        <w:ind w:leftChars="100" w:left="210"/>
        <w:rPr>
          <w:rFonts w:ascii="ＭＳ 明朝" w:hAnsi="ＭＳ 明朝"/>
        </w:rPr>
      </w:pPr>
      <w:r>
        <w:rPr>
          <w:rFonts w:ascii="ＭＳ 明朝" w:hAnsi="ＭＳ 明朝" w:hint="eastAsia"/>
        </w:rPr>
        <w:t>紙カルテとして保管する「治験ワークシート」「薬歴一覧（高崎書式８）」「既往・合併症一覧（高崎書式９）」「有害事象一覧（高崎書式10）」等は、visit毎にホッチキスで止め一番上の用紙に日付、担当医師のイニシャルサインを記載する。</w:t>
      </w:r>
    </w:p>
    <w:p w:rsidR="001C4DC6" w:rsidRDefault="003267E9" w:rsidP="001C4DC6">
      <w:pPr>
        <w:ind w:leftChars="100" w:left="210"/>
        <w:rPr>
          <w:rFonts w:ascii="ＭＳ 明朝" w:hAnsi="ＭＳ 明朝"/>
          <w:u w:val="single"/>
        </w:rPr>
      </w:pPr>
      <w:r w:rsidRPr="003267E9">
        <w:rPr>
          <w:rFonts w:ascii="ＭＳ 明朝" w:hAnsi="ＭＳ 明朝" w:hint="eastAsia"/>
          <w:u w:val="single"/>
        </w:rPr>
        <w:t>記載方法は電子または手書きとし、</w:t>
      </w:r>
      <w:r w:rsidR="001C4DC6" w:rsidRPr="003267E9">
        <w:rPr>
          <w:rFonts w:ascii="ＭＳ 明朝" w:hAnsi="ＭＳ 明朝" w:hint="eastAsia"/>
          <w:u w:val="single"/>
        </w:rPr>
        <w:t>修正時は、日付、医師名、修正理由が明確になうよう記録を残す。</w:t>
      </w:r>
    </w:p>
    <w:p w:rsidR="003267E9" w:rsidRPr="003267E9" w:rsidRDefault="003267E9" w:rsidP="001C4DC6">
      <w:pPr>
        <w:ind w:leftChars="100" w:left="210"/>
        <w:rPr>
          <w:rFonts w:ascii="ＭＳ 明朝" w:hAnsi="ＭＳ 明朝"/>
          <w:u w:val="single"/>
        </w:rPr>
      </w:pPr>
      <w:r>
        <w:rPr>
          <w:rFonts w:ascii="ＭＳ 明朝" w:hAnsi="ＭＳ 明朝" w:hint="eastAsia"/>
          <w:u w:val="single"/>
        </w:rPr>
        <w:t>また、薬歴における英文表記の原本は添付文書と</w:t>
      </w:r>
      <w:r w:rsidR="00402DD2">
        <w:rPr>
          <w:rFonts w:ascii="ＭＳ 明朝" w:hAnsi="ＭＳ 明朝" w:hint="eastAsia"/>
          <w:u w:val="single"/>
        </w:rPr>
        <w:t>し、添付文書に記載が無いものに限り紙カルテに残す。</w:t>
      </w:r>
    </w:p>
    <w:p w:rsidR="001C4DC6" w:rsidRDefault="001C4DC6" w:rsidP="001C4DC6">
      <w:pPr>
        <w:rPr>
          <w:rFonts w:ascii="ＭＳ 明朝" w:hAnsi="ＭＳ 明朝"/>
        </w:rPr>
      </w:pPr>
      <w:r>
        <w:rPr>
          <w:rFonts w:ascii="ＭＳ 明朝" w:hAnsi="ＭＳ 明朝" w:hint="eastAsia"/>
        </w:rPr>
        <w:t>４．医学的判断、矛盾記録、逸脱事項は、原資料に記録を残す。</w:t>
      </w:r>
    </w:p>
    <w:p w:rsidR="001C4DC6" w:rsidRDefault="001C4DC6" w:rsidP="001C4DC6">
      <w:pPr>
        <w:rPr>
          <w:rFonts w:ascii="ＭＳ 明朝" w:hAnsi="ＭＳ 明朝"/>
        </w:rPr>
      </w:pPr>
      <w:r>
        <w:rPr>
          <w:rFonts w:ascii="ＭＳ 明朝" w:hAnsi="ＭＳ 明朝" w:hint="eastAsia"/>
        </w:rPr>
        <w:t>５．中央測定検査結果の医師確認と医学的判断</w:t>
      </w:r>
    </w:p>
    <w:p w:rsidR="001C4DC6" w:rsidRDefault="001C4DC6" w:rsidP="001C4DC6">
      <w:pPr>
        <w:ind w:left="525" w:hangingChars="250" w:hanging="525"/>
        <w:rPr>
          <w:rFonts w:ascii="ＭＳ 明朝" w:hAnsi="ＭＳ 明朝"/>
        </w:rPr>
      </w:pPr>
      <w:r>
        <w:rPr>
          <w:rFonts w:ascii="ＭＳ 明朝" w:hAnsi="ＭＳ 明朝" w:hint="eastAsia"/>
        </w:rPr>
        <w:t xml:space="preserve">　① 有害事象と判断した場合は、有害事象一覧に記録を残す。</w:t>
      </w:r>
    </w:p>
    <w:p w:rsidR="003267E9" w:rsidRPr="003267E9" w:rsidRDefault="001C4DC6" w:rsidP="003267E9">
      <w:pPr>
        <w:ind w:left="525" w:hangingChars="250" w:hanging="525"/>
        <w:rPr>
          <w:rFonts w:ascii="ＭＳ 明朝" w:hAnsi="ＭＳ 明朝"/>
          <w:szCs w:val="21"/>
        </w:rPr>
      </w:pPr>
      <w:r>
        <w:rPr>
          <w:rFonts w:ascii="ＭＳ 明朝" w:hAnsi="ＭＳ 明朝" w:hint="eastAsia"/>
        </w:rPr>
        <w:t xml:space="preserve">　② 依頼者の求めがある場合は、紙面に医学的判断の記録を残す。この場合、医学的判断の判断基準の補助資料として、</w:t>
      </w:r>
      <w:r>
        <w:rPr>
          <w:rFonts w:ascii="ＭＳ 明朝" w:hAnsi="ＭＳ 明朝" w:hint="eastAsia"/>
          <w:szCs w:val="21"/>
        </w:rPr>
        <w:t>臨床検査結果判断（別紙１）を使用する。</w:t>
      </w:r>
    </w:p>
    <w:p w:rsidR="001C4DC6" w:rsidRDefault="001C4DC6" w:rsidP="001C4DC6">
      <w:pPr>
        <w:ind w:left="525" w:hangingChars="250" w:hanging="525"/>
        <w:rPr>
          <w:rFonts w:ascii="ＭＳ 明朝" w:hAnsi="ＭＳ 明朝"/>
          <w:szCs w:val="21"/>
        </w:rPr>
      </w:pPr>
      <w:r>
        <w:rPr>
          <w:rFonts w:ascii="ＭＳ 明朝" w:hAnsi="ＭＳ 明朝" w:hint="eastAsia"/>
          <w:szCs w:val="21"/>
        </w:rPr>
        <w:t>６．電子カルテシステムにおける信頼性確保</w:t>
      </w:r>
    </w:p>
    <w:p w:rsidR="001C4DC6" w:rsidRDefault="001C4DC6" w:rsidP="001C4DC6">
      <w:pPr>
        <w:ind w:left="525" w:hangingChars="250" w:hanging="525"/>
        <w:rPr>
          <w:rFonts w:ascii="ＭＳ 明朝" w:hAnsi="ＭＳ 明朝"/>
          <w:szCs w:val="21"/>
        </w:rPr>
      </w:pPr>
      <w:r>
        <w:rPr>
          <w:rFonts w:ascii="ＭＳ 明朝" w:hAnsi="ＭＳ 明朝" w:hint="eastAsia"/>
          <w:szCs w:val="21"/>
        </w:rPr>
        <w:t xml:space="preserve">　　別紙２参照。</w:t>
      </w:r>
    </w:p>
    <w:p w:rsidR="001C4DC6" w:rsidRDefault="001C4DC6" w:rsidP="003267E9">
      <w:pPr>
        <w:rPr>
          <w:rFonts w:ascii="ＭＳ Ｐゴシック" w:eastAsia="ＭＳ Ｐゴシック" w:hAnsi="ＭＳ Ｐゴシック"/>
          <w:szCs w:val="21"/>
        </w:rPr>
      </w:pPr>
    </w:p>
    <w:p w:rsidR="001C4DC6" w:rsidRDefault="001C4DC6" w:rsidP="001C4DC6">
      <w:pPr>
        <w:ind w:left="525" w:hangingChars="250" w:hanging="525"/>
        <w:rPr>
          <w:rFonts w:ascii="ＭＳ Ｐゴシック" w:eastAsia="ＭＳ Ｐゴシック" w:hAnsi="ＭＳ Ｐゴシック"/>
          <w:szCs w:val="21"/>
        </w:rPr>
      </w:pPr>
    </w:p>
    <w:p w:rsidR="001C4DC6" w:rsidRDefault="001C4DC6" w:rsidP="001C4DC6">
      <w:pPr>
        <w:ind w:left="525" w:hangingChars="250" w:hanging="525"/>
        <w:rPr>
          <w:rFonts w:ascii="ＭＳ Ｐゴシック" w:eastAsia="ＭＳ Ｐゴシック" w:hAnsi="ＭＳ Ｐゴシック"/>
          <w:szCs w:val="21"/>
        </w:rPr>
      </w:pPr>
    </w:p>
    <w:p w:rsidR="001C4DC6" w:rsidRDefault="001C4DC6" w:rsidP="001C4DC6">
      <w:pPr>
        <w:ind w:left="525" w:hangingChars="250" w:hanging="525"/>
        <w:rPr>
          <w:rFonts w:ascii="ＭＳ Ｐゴシック" w:eastAsia="ＭＳ Ｐゴシック" w:hAnsi="ＭＳ Ｐゴシック"/>
          <w:szCs w:val="21"/>
        </w:rPr>
      </w:pPr>
    </w:p>
    <w:p w:rsidR="001C4DC6" w:rsidRDefault="001C4DC6" w:rsidP="001C4DC6">
      <w:pPr>
        <w:ind w:left="525" w:hangingChars="250" w:hanging="525"/>
        <w:rPr>
          <w:rFonts w:ascii="ＭＳ Ｐゴシック" w:eastAsia="ＭＳ Ｐゴシック" w:hAnsi="ＭＳ Ｐゴシック"/>
          <w:szCs w:val="21"/>
        </w:rPr>
      </w:pPr>
    </w:p>
    <w:p w:rsidR="001C4DC6" w:rsidRDefault="001C4DC6" w:rsidP="001C4DC6">
      <w:pPr>
        <w:ind w:left="525" w:hangingChars="250" w:hanging="525"/>
        <w:rPr>
          <w:rFonts w:ascii="ＭＳ Ｐゴシック" w:eastAsia="ＭＳ Ｐゴシック" w:hAnsi="ＭＳ Ｐゴシック"/>
          <w:szCs w:val="21"/>
        </w:rPr>
      </w:pPr>
    </w:p>
    <w:p w:rsidR="001C4DC6" w:rsidRDefault="001C4DC6" w:rsidP="001C4DC6">
      <w:pPr>
        <w:ind w:left="525" w:hangingChars="250" w:hanging="525"/>
        <w:rPr>
          <w:rFonts w:ascii="ＭＳ Ｐゴシック" w:eastAsia="ＭＳ Ｐゴシック" w:hAnsi="ＭＳ Ｐゴシック"/>
          <w:szCs w:val="21"/>
        </w:rPr>
      </w:pPr>
    </w:p>
    <w:p w:rsidR="001C4DC6" w:rsidRDefault="001C4DC6" w:rsidP="001C4DC6">
      <w:pPr>
        <w:rPr>
          <w:rFonts w:ascii="ＭＳ Ｐゴシック" w:eastAsia="ＭＳ Ｐゴシック" w:hAnsi="ＭＳ Ｐゴシック"/>
          <w:szCs w:val="21"/>
        </w:rPr>
      </w:pPr>
    </w:p>
    <w:p w:rsidR="001C4DC6" w:rsidRDefault="001C4DC6" w:rsidP="001C4DC6">
      <w:pPr>
        <w:spacing w:line="240" w:lineRule="exac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別紙１</w:t>
      </w:r>
    </w:p>
    <w:p w:rsidR="001C4DC6" w:rsidRDefault="001C4DC6" w:rsidP="001C4DC6">
      <w:pPr>
        <w:spacing w:line="240" w:lineRule="exact"/>
        <w:ind w:firstLineChars="200" w:firstLine="42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2013.7.26</w:t>
      </w:r>
    </w:p>
    <w:p w:rsidR="001C4DC6" w:rsidRDefault="001C4DC6" w:rsidP="001C4DC6">
      <w:pPr>
        <w:jc w:val="right"/>
        <w:rPr>
          <w:rFonts w:ascii="ＭＳ Ｐゴシック" w:eastAsia="ＭＳ Ｐゴシック" w:hAnsi="ＭＳ Ｐゴシック"/>
        </w:rPr>
      </w:pPr>
      <w:r>
        <w:rPr>
          <w:rFonts w:ascii="ＭＳ Ｐゴシック" w:eastAsia="ＭＳ Ｐゴシック" w:hAnsi="ＭＳ Ｐゴシック" w:hint="eastAsia"/>
        </w:rPr>
        <w:t>（NHO）高崎総合医療センター</w:t>
      </w:r>
    </w:p>
    <w:p w:rsidR="001C4DC6" w:rsidRDefault="001C4DC6" w:rsidP="001C4DC6">
      <w:pPr>
        <w:spacing w:line="240" w:lineRule="exact"/>
        <w:ind w:firstLineChars="200" w:firstLine="420"/>
        <w:jc w:val="right"/>
        <w:rPr>
          <w:rFonts w:ascii="ＭＳ Ｐゴシック" w:eastAsia="ＭＳ Ｐゴシック" w:hAnsi="ＭＳ Ｐゴシック"/>
          <w:szCs w:val="21"/>
        </w:rPr>
      </w:pPr>
    </w:p>
    <w:p w:rsidR="001C4DC6" w:rsidRDefault="001C4DC6" w:rsidP="001C4DC6">
      <w:pPr>
        <w:ind w:firstLineChars="200" w:firstLine="420"/>
        <w:rPr>
          <w:rFonts w:ascii="ＭＳ Ｐゴシック" w:eastAsia="ＭＳ Ｐゴシック" w:hAnsi="ＭＳ Ｐゴシック"/>
          <w:szCs w:val="21"/>
        </w:rPr>
      </w:pP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臨床検査結果判断</w:t>
      </w:r>
    </w:p>
    <w:p w:rsidR="001C4DC6" w:rsidRDefault="001C4DC6" w:rsidP="001C4DC6">
      <w:pPr>
        <w:rPr>
          <w:rFonts w:ascii="ＭＳ Ｐゴシック" w:eastAsia="ＭＳ Ｐゴシック" w:hAnsi="ＭＳ Ｐゴシック"/>
          <w:szCs w:val="2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tblGrid>
      <w:tr w:rsidR="001C4DC6" w:rsidRPr="004A65DD" w:rsidTr="00A13406">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jc w:val="cente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番号</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jc w:val="cente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comment</w:t>
            </w:r>
          </w:p>
        </w:tc>
      </w:tr>
      <w:tr w:rsidR="001C4DC6" w:rsidRPr="004A65DD" w:rsidTr="00A13406">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jc w:val="cente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1</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生理的変動内</w:t>
            </w:r>
          </w:p>
        </w:tc>
      </w:tr>
      <w:tr w:rsidR="001C4DC6" w:rsidRPr="004A65DD" w:rsidTr="00A13406">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jc w:val="cente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2</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原疾患によるもの</w:t>
            </w:r>
          </w:p>
        </w:tc>
      </w:tr>
      <w:tr w:rsidR="001C4DC6" w:rsidRPr="004A65DD" w:rsidTr="00A13406">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jc w:val="cente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3</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合併症によるもの</w:t>
            </w:r>
          </w:p>
        </w:tc>
      </w:tr>
      <w:tr w:rsidR="001C4DC6" w:rsidRPr="004A65DD" w:rsidTr="00A13406">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jc w:val="cente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4</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1C4DC6" w:rsidRPr="004A65DD" w:rsidRDefault="001C4DC6" w:rsidP="00A13406">
            <w:pPr>
              <w:rPr>
                <w:rFonts w:ascii="ＭＳ Ｐゴシック" w:eastAsia="ＭＳ Ｐゴシック" w:hAnsi="ＭＳ Ｐゴシック"/>
                <w:sz w:val="24"/>
              </w:rPr>
            </w:pPr>
            <w:r w:rsidRPr="004A65DD">
              <w:rPr>
                <w:rFonts w:ascii="ＭＳ Ｐゴシック" w:eastAsia="ＭＳ Ｐゴシック" w:hAnsi="ＭＳ Ｐゴシック" w:hint="eastAsia"/>
                <w:sz w:val="24"/>
              </w:rPr>
              <w:t>有害事象によるもの</w:t>
            </w:r>
          </w:p>
        </w:tc>
      </w:tr>
    </w:tbl>
    <w:p w:rsidR="001C4DC6" w:rsidRDefault="001C4DC6" w:rsidP="001C4DC6">
      <w:pPr>
        <w:rPr>
          <w:rFonts w:ascii="ＭＳ Ｐゴシック" w:eastAsia="ＭＳ Ｐゴシック" w:hAnsi="ＭＳ Ｐゴシック"/>
        </w:rPr>
      </w:pPr>
    </w:p>
    <w:p w:rsidR="001C4DC6" w:rsidRDefault="001C4DC6" w:rsidP="001C4DC6">
      <w:pPr>
        <w:rPr>
          <w:rFonts w:ascii="ＭＳ Ｐゴシック" w:eastAsia="ＭＳ Ｐゴシック" w:hAnsi="ＭＳ Ｐゴシック"/>
        </w:rPr>
      </w:pPr>
      <w:r>
        <w:rPr>
          <w:rFonts w:ascii="ＭＳ Ｐゴシック" w:eastAsia="ＭＳ Ｐゴシック" w:hAnsi="ＭＳ Ｐゴシック" w:hint="eastAsia"/>
        </w:rPr>
        <w:t xml:space="preserve">　１．保存方法と確認サイン</w:t>
      </w: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① 「検査結果」＋「当用紙」をホッチキス止めし、医師のサイン日付は表紙のみに記載する。</w:t>
      </w:r>
    </w:p>
    <w:p w:rsidR="001C4DC6" w:rsidRDefault="001C4DC6" w:rsidP="001C4DC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２．判断理由</w:t>
      </w: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① 「有害事象とする」と判断した場合は、有害事象一覧と関連づけて記録を残す。</w:t>
      </w: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（例）　有害事象一覧の「５」に記載されているもの　・・　4 - 5</w:t>
      </w: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② 「有害事象としない」と判断した場合は、その理由を残す。</w:t>
      </w:r>
    </w:p>
    <w:p w:rsidR="001C4DC6" w:rsidRDefault="001C4DC6" w:rsidP="001C4DC6">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ⅰ） 生理的変動範囲内　・・　１</w:t>
      </w: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ⅱ） 治験としてあげている原疾患によるもの ･･ 　2</w:t>
      </w:r>
    </w:p>
    <w:p w:rsidR="001C4DC6" w:rsidRDefault="001C4DC6" w:rsidP="001C4DC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ⅲ） 既往・合併症一覧の「５」に記載されている合併症によるもの　・・　　3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5</w:t>
      </w:r>
    </w:p>
    <w:p w:rsidR="00AD4ABE" w:rsidRDefault="00AD4ABE">
      <w:r>
        <w:br w:type="page"/>
      </w:r>
    </w:p>
    <w:p w:rsidR="00AD4ABE" w:rsidRDefault="00AD4ABE" w:rsidP="00AD4ABE">
      <w:pPr>
        <w:spacing w:line="300" w:lineRule="exact"/>
        <w:rPr>
          <w:sz w:val="16"/>
          <w:szCs w:val="16"/>
        </w:rPr>
      </w:pPr>
      <w:r>
        <w:rPr>
          <w:rFonts w:hint="eastAsia"/>
          <w:sz w:val="16"/>
          <w:szCs w:val="16"/>
        </w:rPr>
        <w:lastRenderedPageBreak/>
        <w:t>別紙２</w:t>
      </w:r>
    </w:p>
    <w:p w:rsidR="00AD4ABE" w:rsidRDefault="00AD4ABE" w:rsidP="00AD4ABE">
      <w:pPr>
        <w:spacing w:line="300" w:lineRule="exact"/>
        <w:ind w:left="420"/>
        <w:jc w:val="right"/>
        <w:rPr>
          <w:sz w:val="16"/>
          <w:szCs w:val="16"/>
        </w:rPr>
      </w:pPr>
      <w:r>
        <w:rPr>
          <w:sz w:val="16"/>
          <w:szCs w:val="16"/>
        </w:rPr>
        <w:t>2013.7.26</w:t>
      </w:r>
    </w:p>
    <w:p w:rsidR="00AD4ABE" w:rsidRDefault="00AD4ABE" w:rsidP="00AD4ABE">
      <w:pPr>
        <w:spacing w:line="300" w:lineRule="exact"/>
        <w:ind w:left="420"/>
        <w:jc w:val="right"/>
        <w:rPr>
          <w:sz w:val="16"/>
          <w:szCs w:val="16"/>
        </w:rPr>
      </w:pPr>
      <w:r>
        <w:rPr>
          <w:rFonts w:hint="eastAsia"/>
          <w:sz w:val="16"/>
          <w:szCs w:val="16"/>
        </w:rPr>
        <w:t>（</w:t>
      </w:r>
      <w:r>
        <w:rPr>
          <w:sz w:val="16"/>
          <w:szCs w:val="16"/>
        </w:rPr>
        <w:t>NHO</w:t>
      </w:r>
      <w:r>
        <w:rPr>
          <w:rFonts w:hint="eastAsia"/>
          <w:sz w:val="16"/>
          <w:szCs w:val="16"/>
        </w:rPr>
        <w:t>）高崎総合医療センター</w:t>
      </w:r>
    </w:p>
    <w:p w:rsidR="00AD4ABE" w:rsidRDefault="00AD4ABE" w:rsidP="00AD4ABE">
      <w:pPr>
        <w:spacing w:line="300" w:lineRule="exact"/>
        <w:rPr>
          <w:sz w:val="20"/>
          <w:szCs w:val="20"/>
          <w:u w:val="single"/>
        </w:rPr>
      </w:pPr>
    </w:p>
    <w:p w:rsidR="00AD4ABE" w:rsidRDefault="00AD4ABE" w:rsidP="00AD4ABE">
      <w:pPr>
        <w:spacing w:line="300" w:lineRule="exact"/>
        <w:jc w:val="center"/>
        <w:rPr>
          <w:sz w:val="20"/>
          <w:szCs w:val="20"/>
          <w:u w:val="single"/>
        </w:rPr>
      </w:pPr>
      <w:r>
        <w:rPr>
          <w:rFonts w:hint="eastAsia"/>
          <w:sz w:val="20"/>
          <w:szCs w:val="20"/>
          <w:u w:val="single"/>
        </w:rPr>
        <w:t>電子カルテシステムにおける信頼性確保</w:t>
      </w:r>
    </w:p>
    <w:p w:rsidR="00AD4ABE" w:rsidRDefault="00AD4ABE" w:rsidP="00AD4ABE">
      <w:pPr>
        <w:spacing w:line="300" w:lineRule="exact"/>
        <w:rPr>
          <w:sz w:val="20"/>
          <w:szCs w:val="20"/>
          <w:u w:val="single"/>
        </w:rPr>
      </w:pPr>
    </w:p>
    <w:p w:rsidR="00AD4ABE" w:rsidRDefault="00AD4ABE" w:rsidP="00AD4ABE">
      <w:pPr>
        <w:spacing w:line="300" w:lineRule="exact"/>
        <w:rPr>
          <w:sz w:val="18"/>
          <w:szCs w:val="18"/>
        </w:rPr>
      </w:pPr>
      <w:r>
        <w:rPr>
          <w:rFonts w:hint="eastAsia"/>
          <w:sz w:val="18"/>
          <w:szCs w:val="18"/>
        </w:rPr>
        <w:t>１．一般事項</w:t>
      </w:r>
    </w:p>
    <w:p w:rsidR="00AD4ABE" w:rsidRDefault="00AD4ABE" w:rsidP="00AD4ABE">
      <w:pPr>
        <w:spacing w:line="300" w:lineRule="exact"/>
        <w:ind w:firstLineChars="300" w:firstLine="480"/>
        <w:rPr>
          <w:sz w:val="16"/>
          <w:szCs w:val="16"/>
        </w:rPr>
      </w:pPr>
      <w:r>
        <w:rPr>
          <w:rFonts w:hint="eastAsia"/>
          <w:sz w:val="16"/>
          <w:szCs w:val="16"/>
        </w:rPr>
        <w:t>①　電子カルテシステムの名称</w:t>
      </w:r>
    </w:p>
    <w:p w:rsidR="00AD4ABE" w:rsidRDefault="00AD4ABE" w:rsidP="00AD4ABE">
      <w:pPr>
        <w:spacing w:line="300" w:lineRule="exact"/>
        <w:ind w:leftChars="200" w:left="420" w:firstLineChars="200" w:firstLine="320"/>
        <w:rPr>
          <w:sz w:val="16"/>
          <w:szCs w:val="16"/>
        </w:rPr>
      </w:pPr>
      <w:r>
        <w:rPr>
          <w:rFonts w:hint="eastAsia"/>
          <w:sz w:val="16"/>
          <w:szCs w:val="16"/>
        </w:rPr>
        <w:t>名称：</w:t>
      </w:r>
      <w:proofErr w:type="spellStart"/>
      <w:r>
        <w:rPr>
          <w:sz w:val="16"/>
          <w:szCs w:val="16"/>
        </w:rPr>
        <w:t>MegaOrk</w:t>
      </w:r>
      <w:proofErr w:type="spellEnd"/>
      <w:r>
        <w:rPr>
          <w:rFonts w:hint="eastAsia"/>
          <w:sz w:val="16"/>
          <w:szCs w:val="16"/>
        </w:rPr>
        <w:t xml:space="preserve">　</w:t>
      </w:r>
      <w:r>
        <w:rPr>
          <w:sz w:val="16"/>
          <w:szCs w:val="16"/>
        </w:rPr>
        <w:t>HR3.06</w:t>
      </w:r>
    </w:p>
    <w:p w:rsidR="00AD4ABE" w:rsidRDefault="00AD4ABE" w:rsidP="00AD4ABE">
      <w:pPr>
        <w:numPr>
          <w:ilvl w:val="0"/>
          <w:numId w:val="1"/>
        </w:numPr>
        <w:spacing w:line="300" w:lineRule="exact"/>
        <w:rPr>
          <w:sz w:val="16"/>
          <w:szCs w:val="16"/>
        </w:rPr>
      </w:pPr>
      <w:r>
        <w:rPr>
          <w:rFonts w:hint="eastAsia"/>
          <w:sz w:val="16"/>
          <w:szCs w:val="16"/>
        </w:rPr>
        <w:t>開発したベンダー名：</w:t>
      </w:r>
      <w:r>
        <w:rPr>
          <w:sz w:val="16"/>
          <w:szCs w:val="16"/>
        </w:rPr>
        <w:t>NTT</w:t>
      </w:r>
      <w:r>
        <w:rPr>
          <w:rFonts w:hint="eastAsia"/>
          <w:sz w:val="16"/>
          <w:szCs w:val="16"/>
        </w:rPr>
        <w:t>データ</w:t>
      </w:r>
    </w:p>
    <w:p w:rsidR="00AD4ABE" w:rsidRDefault="00AD4ABE" w:rsidP="00AD4ABE">
      <w:pPr>
        <w:spacing w:line="300" w:lineRule="exact"/>
        <w:ind w:firstLineChars="300" w:firstLine="480"/>
        <w:rPr>
          <w:sz w:val="16"/>
          <w:szCs w:val="16"/>
        </w:rPr>
      </w:pPr>
      <w:r>
        <w:rPr>
          <w:rFonts w:hint="eastAsia"/>
          <w:sz w:val="16"/>
          <w:szCs w:val="16"/>
        </w:rPr>
        <w:t>③　導入時および機能変更時のバリデーション記録は電子媒体でシステム管理室に保存している。</w:t>
      </w:r>
    </w:p>
    <w:p w:rsidR="00AD4ABE" w:rsidRDefault="00AD4ABE" w:rsidP="00AD4ABE">
      <w:pPr>
        <w:spacing w:line="300" w:lineRule="exact"/>
        <w:ind w:firstLineChars="300" w:firstLine="480"/>
        <w:rPr>
          <w:sz w:val="16"/>
          <w:szCs w:val="16"/>
        </w:rPr>
      </w:pPr>
      <w:r>
        <w:rPr>
          <w:rFonts w:hint="eastAsia"/>
          <w:sz w:val="16"/>
          <w:szCs w:val="16"/>
        </w:rPr>
        <w:t>④　運用管理規程は文書で保存している。</w:t>
      </w:r>
    </w:p>
    <w:p w:rsidR="00AD4ABE" w:rsidRDefault="00AD4ABE" w:rsidP="00AD4ABE">
      <w:pPr>
        <w:spacing w:line="300" w:lineRule="exact"/>
        <w:ind w:firstLineChars="300" w:firstLine="480"/>
        <w:rPr>
          <w:sz w:val="16"/>
          <w:szCs w:val="16"/>
        </w:rPr>
      </w:pPr>
      <w:r>
        <w:rPr>
          <w:rFonts w:hint="eastAsia"/>
          <w:sz w:val="16"/>
          <w:szCs w:val="16"/>
        </w:rPr>
        <w:t>⑤　データのバックアップ手順について、規程の文書化について毎日自動でバックアップされている。</w:t>
      </w:r>
    </w:p>
    <w:p w:rsidR="00AD4ABE" w:rsidRDefault="00AD4ABE" w:rsidP="00AD4ABE">
      <w:pPr>
        <w:spacing w:line="300" w:lineRule="exact"/>
        <w:ind w:leftChars="200" w:left="740" w:hangingChars="200" w:hanging="320"/>
        <w:rPr>
          <w:sz w:val="16"/>
          <w:szCs w:val="16"/>
        </w:rPr>
      </w:pPr>
      <w:r>
        <w:rPr>
          <w:rFonts w:hint="eastAsia"/>
          <w:sz w:val="16"/>
          <w:szCs w:val="16"/>
        </w:rPr>
        <w:t>⑥　システムが正しく運用されるための必要なユーザ教育・トレーニング実施について情報システム室が対応している。</w:t>
      </w:r>
    </w:p>
    <w:p w:rsidR="00AD4ABE" w:rsidRDefault="00AD4ABE" w:rsidP="00AD4ABE">
      <w:pPr>
        <w:spacing w:line="300" w:lineRule="exact"/>
        <w:rPr>
          <w:sz w:val="18"/>
          <w:szCs w:val="18"/>
        </w:rPr>
      </w:pPr>
      <w:r>
        <w:rPr>
          <w:rFonts w:hint="eastAsia"/>
          <w:sz w:val="18"/>
          <w:szCs w:val="18"/>
        </w:rPr>
        <w:t>２．真正性の確保について</w:t>
      </w:r>
    </w:p>
    <w:p w:rsidR="00AD4ABE" w:rsidRDefault="00AD4ABE" w:rsidP="00AD4ABE">
      <w:pPr>
        <w:spacing w:line="300" w:lineRule="exact"/>
        <w:ind w:leftChars="200" w:left="420" w:firstLineChars="50" w:firstLine="80"/>
        <w:rPr>
          <w:sz w:val="16"/>
          <w:szCs w:val="16"/>
        </w:rPr>
      </w:pPr>
      <w:r>
        <w:rPr>
          <w:rFonts w:hint="eastAsia"/>
          <w:sz w:val="16"/>
          <w:szCs w:val="16"/>
        </w:rPr>
        <w:t xml:space="preserve">①　</w:t>
      </w:r>
      <w:r>
        <w:rPr>
          <w:sz w:val="16"/>
          <w:szCs w:val="16"/>
        </w:rPr>
        <w:t>ID</w:t>
      </w:r>
      <w:r>
        <w:rPr>
          <w:rFonts w:hint="eastAsia"/>
          <w:sz w:val="16"/>
          <w:szCs w:val="16"/>
        </w:rPr>
        <w:t>・パスワードによって利用者の管理が行われている。</w:t>
      </w:r>
    </w:p>
    <w:p w:rsidR="00AD4ABE" w:rsidRDefault="00AD4ABE" w:rsidP="00AD4ABE">
      <w:pPr>
        <w:spacing w:line="300" w:lineRule="exact"/>
        <w:ind w:firstLineChars="300" w:firstLine="480"/>
        <w:rPr>
          <w:sz w:val="16"/>
          <w:szCs w:val="16"/>
        </w:rPr>
      </w:pPr>
      <w:r>
        <w:rPr>
          <w:rFonts w:hint="eastAsia"/>
          <w:sz w:val="16"/>
          <w:szCs w:val="16"/>
        </w:rPr>
        <w:t>②　保存されたデータに関連付けられた</w:t>
      </w:r>
      <w:r>
        <w:rPr>
          <w:sz w:val="16"/>
          <w:szCs w:val="16"/>
        </w:rPr>
        <w:t>ID</w:t>
      </w:r>
      <w:r>
        <w:rPr>
          <w:rFonts w:hint="eastAsia"/>
          <w:sz w:val="16"/>
          <w:szCs w:val="16"/>
        </w:rPr>
        <w:t>等の識別情報により、誰が入力・変更したのか判別できる。</w:t>
      </w:r>
    </w:p>
    <w:p w:rsidR="00AD4ABE" w:rsidRDefault="00AD4ABE" w:rsidP="00AD4ABE">
      <w:pPr>
        <w:spacing w:line="300" w:lineRule="exact"/>
        <w:ind w:leftChars="228" w:left="799" w:hangingChars="200" w:hanging="320"/>
        <w:rPr>
          <w:sz w:val="16"/>
          <w:szCs w:val="16"/>
        </w:rPr>
      </w:pPr>
      <w:r>
        <w:rPr>
          <w:rFonts w:hint="eastAsia"/>
          <w:sz w:val="16"/>
          <w:szCs w:val="16"/>
        </w:rPr>
        <w:t>③　一旦確認されたデータの変更や消去に際して、カルテ上に履歴が保存され、必要に応じてその内容が確認できる。</w:t>
      </w:r>
    </w:p>
    <w:p w:rsidR="00AD4ABE" w:rsidRDefault="00AD4ABE" w:rsidP="00AD4ABE">
      <w:pPr>
        <w:spacing w:line="300" w:lineRule="exact"/>
        <w:rPr>
          <w:sz w:val="16"/>
          <w:szCs w:val="16"/>
        </w:rPr>
      </w:pPr>
      <w:r>
        <w:rPr>
          <w:rFonts w:hint="eastAsia"/>
          <w:sz w:val="16"/>
          <w:szCs w:val="16"/>
        </w:rPr>
        <w:t xml:space="preserve">　　　④　過失による誤入力・書き換え・消去等に関しての防止策として、書き換え、消去はできず、修正履歴が残る。</w:t>
      </w:r>
    </w:p>
    <w:p w:rsidR="00AD4ABE" w:rsidRDefault="00AD4ABE" w:rsidP="00AD4ABE">
      <w:pPr>
        <w:spacing w:line="300" w:lineRule="exact"/>
        <w:ind w:left="800" w:hangingChars="500" w:hanging="800"/>
        <w:rPr>
          <w:sz w:val="16"/>
          <w:szCs w:val="16"/>
        </w:rPr>
      </w:pPr>
      <w:r>
        <w:rPr>
          <w:rFonts w:hint="eastAsia"/>
          <w:sz w:val="16"/>
          <w:szCs w:val="16"/>
        </w:rPr>
        <w:t xml:space="preserve">　　　⑤　入力者への「なりすまし」による虚為入力・書き換え・消去等に関しての防止策として、書き換え、消去はできず、修正履歴が残る。</w:t>
      </w:r>
    </w:p>
    <w:p w:rsidR="00AD4ABE" w:rsidRDefault="00AD4ABE" w:rsidP="00AD4ABE">
      <w:pPr>
        <w:numPr>
          <w:ilvl w:val="0"/>
          <w:numId w:val="2"/>
        </w:numPr>
        <w:spacing w:line="300" w:lineRule="exact"/>
        <w:rPr>
          <w:sz w:val="18"/>
          <w:szCs w:val="18"/>
        </w:rPr>
      </w:pPr>
      <w:r>
        <w:rPr>
          <w:rFonts w:hint="eastAsia"/>
          <w:sz w:val="18"/>
          <w:szCs w:val="18"/>
        </w:rPr>
        <w:t>見読性の確保について</w:t>
      </w:r>
    </w:p>
    <w:p w:rsidR="00AD4ABE" w:rsidRDefault="00AD4ABE" w:rsidP="00AD4ABE">
      <w:pPr>
        <w:spacing w:line="300" w:lineRule="exact"/>
        <w:ind w:firstLineChars="300" w:firstLine="480"/>
        <w:rPr>
          <w:sz w:val="16"/>
          <w:szCs w:val="16"/>
        </w:rPr>
      </w:pPr>
      <w:r>
        <w:rPr>
          <w:rFonts w:hint="eastAsia"/>
          <w:sz w:val="16"/>
          <w:szCs w:val="16"/>
        </w:rPr>
        <w:t>①　登録されている情報の必要な部分を、容易に肉眼で見読可能な状態に表示できる。</w:t>
      </w:r>
    </w:p>
    <w:p w:rsidR="00AD4ABE" w:rsidRDefault="00AD4ABE" w:rsidP="00AD4ABE">
      <w:pPr>
        <w:spacing w:line="300" w:lineRule="exact"/>
        <w:ind w:firstLineChars="300" w:firstLine="480"/>
        <w:rPr>
          <w:sz w:val="16"/>
          <w:szCs w:val="16"/>
        </w:rPr>
      </w:pPr>
      <w:r>
        <w:rPr>
          <w:rFonts w:hint="eastAsia"/>
          <w:sz w:val="16"/>
          <w:szCs w:val="16"/>
        </w:rPr>
        <w:t>②　登録されている情報の必要な部分を、目的に応じて直ちに書面に表示（印刷）できる。</w:t>
      </w:r>
    </w:p>
    <w:p w:rsidR="00AD4ABE" w:rsidRDefault="00AD4ABE" w:rsidP="00AD4ABE">
      <w:pPr>
        <w:spacing w:line="300" w:lineRule="exact"/>
        <w:rPr>
          <w:sz w:val="18"/>
          <w:szCs w:val="18"/>
        </w:rPr>
      </w:pPr>
      <w:r>
        <w:rPr>
          <w:rFonts w:hint="eastAsia"/>
          <w:sz w:val="18"/>
          <w:szCs w:val="18"/>
        </w:rPr>
        <w:t>４．保存性の確保について</w:t>
      </w:r>
    </w:p>
    <w:p w:rsidR="00AD4ABE" w:rsidRDefault="00AD4ABE" w:rsidP="00AD4ABE">
      <w:pPr>
        <w:spacing w:line="300" w:lineRule="exact"/>
        <w:rPr>
          <w:sz w:val="16"/>
          <w:szCs w:val="16"/>
        </w:rPr>
      </w:pPr>
      <w:r>
        <w:rPr>
          <w:rFonts w:hint="eastAsia"/>
          <w:sz w:val="16"/>
          <w:szCs w:val="16"/>
        </w:rPr>
        <w:t xml:space="preserve">　　　①　法令等で定められた期間にわたって、登録された情報を真正性と見読性を保持しながら保存することが可能。</w:t>
      </w:r>
    </w:p>
    <w:p w:rsidR="00AD4ABE" w:rsidRDefault="00AD4ABE" w:rsidP="00AD4ABE">
      <w:pPr>
        <w:spacing w:line="300" w:lineRule="exact"/>
        <w:ind w:firstLineChars="400" w:firstLine="640"/>
        <w:rPr>
          <w:sz w:val="16"/>
          <w:szCs w:val="16"/>
        </w:rPr>
      </w:pPr>
      <w:r>
        <w:rPr>
          <w:rFonts w:hint="eastAsia"/>
          <w:sz w:val="16"/>
          <w:szCs w:val="16"/>
        </w:rPr>
        <w:t>（保存方法：サーバに保存、磁気データとして永久保存）</w:t>
      </w:r>
    </w:p>
    <w:p w:rsidR="00AD4ABE" w:rsidRDefault="00AD4ABE" w:rsidP="00AD4ABE">
      <w:pPr>
        <w:spacing w:line="300" w:lineRule="exact"/>
        <w:rPr>
          <w:sz w:val="16"/>
          <w:szCs w:val="16"/>
        </w:rPr>
      </w:pPr>
      <w:r>
        <w:rPr>
          <w:rFonts w:hint="eastAsia"/>
          <w:sz w:val="18"/>
          <w:szCs w:val="18"/>
        </w:rPr>
        <w:t>５．ハードウェア設置環境およびシステムサポートについて</w:t>
      </w:r>
    </w:p>
    <w:p w:rsidR="00AD4ABE" w:rsidRDefault="00AD4ABE" w:rsidP="00AD4ABE">
      <w:pPr>
        <w:spacing w:line="300" w:lineRule="exact"/>
        <w:rPr>
          <w:sz w:val="16"/>
          <w:szCs w:val="16"/>
        </w:rPr>
      </w:pPr>
      <w:r>
        <w:rPr>
          <w:rFonts w:hint="eastAsia"/>
          <w:sz w:val="16"/>
          <w:szCs w:val="16"/>
        </w:rPr>
        <w:t xml:space="preserve">　　　①　サーバは、水・火・地震・磁気界等、一般的なダメージに対する配慮がされた場所に設置されている。</w:t>
      </w:r>
    </w:p>
    <w:p w:rsidR="00AD4ABE" w:rsidRDefault="00AD4ABE" w:rsidP="00AD4ABE">
      <w:pPr>
        <w:spacing w:line="300" w:lineRule="exact"/>
        <w:rPr>
          <w:sz w:val="16"/>
          <w:szCs w:val="16"/>
        </w:rPr>
      </w:pPr>
      <w:r>
        <w:rPr>
          <w:rFonts w:hint="eastAsia"/>
          <w:sz w:val="16"/>
          <w:szCs w:val="16"/>
        </w:rPr>
        <w:t xml:space="preserve">　　　②　停電に対する対策はされている。</w:t>
      </w:r>
    </w:p>
    <w:p w:rsidR="00AD4ABE" w:rsidRDefault="00AD4ABE" w:rsidP="00AD4ABE">
      <w:pPr>
        <w:spacing w:line="300" w:lineRule="exact"/>
        <w:rPr>
          <w:sz w:val="16"/>
          <w:szCs w:val="16"/>
        </w:rPr>
      </w:pPr>
      <w:r>
        <w:rPr>
          <w:rFonts w:hint="eastAsia"/>
          <w:sz w:val="16"/>
          <w:szCs w:val="16"/>
        </w:rPr>
        <w:t xml:space="preserve">　　　③　サーバに対する防犯・セキュリティ対策はされている。</w:t>
      </w:r>
    </w:p>
    <w:p w:rsidR="00AD4ABE" w:rsidRDefault="00AD4ABE" w:rsidP="00AD4ABE">
      <w:pPr>
        <w:spacing w:line="300" w:lineRule="exact"/>
        <w:ind w:left="800" w:hangingChars="500" w:hanging="800"/>
        <w:rPr>
          <w:sz w:val="16"/>
          <w:szCs w:val="16"/>
        </w:rPr>
      </w:pPr>
      <w:r>
        <w:rPr>
          <w:rFonts w:hint="eastAsia"/>
          <w:sz w:val="16"/>
          <w:szCs w:val="16"/>
        </w:rPr>
        <w:t xml:space="preserve">　　　④　定期的なデータのバックアップやウイルスソフト対策等、保存されているデータへの安全策は考慮されている。</w:t>
      </w:r>
    </w:p>
    <w:p w:rsidR="00AD4ABE" w:rsidRDefault="00AD4ABE" w:rsidP="00AD4ABE">
      <w:pPr>
        <w:spacing w:line="300" w:lineRule="exact"/>
        <w:rPr>
          <w:sz w:val="16"/>
          <w:szCs w:val="16"/>
        </w:rPr>
      </w:pPr>
      <w:r>
        <w:rPr>
          <w:rFonts w:hint="eastAsia"/>
          <w:sz w:val="16"/>
          <w:szCs w:val="16"/>
        </w:rPr>
        <w:t xml:space="preserve">　　　⑤　システムに異常が生じた場合の連絡およびサポート体制は定められている。</w:t>
      </w:r>
    </w:p>
    <w:p w:rsidR="00AD4ABE" w:rsidRDefault="00AD4ABE" w:rsidP="00AD4ABE">
      <w:pPr>
        <w:spacing w:line="300" w:lineRule="exact"/>
        <w:rPr>
          <w:sz w:val="16"/>
          <w:szCs w:val="16"/>
        </w:rPr>
      </w:pPr>
      <w:r>
        <w:rPr>
          <w:rFonts w:hint="eastAsia"/>
          <w:sz w:val="18"/>
          <w:szCs w:val="18"/>
        </w:rPr>
        <w:t>６．モニタリング（</w:t>
      </w:r>
      <w:r>
        <w:rPr>
          <w:sz w:val="18"/>
          <w:szCs w:val="18"/>
        </w:rPr>
        <w:t>SDV</w:t>
      </w:r>
      <w:r>
        <w:rPr>
          <w:rFonts w:hint="eastAsia"/>
          <w:sz w:val="18"/>
          <w:szCs w:val="18"/>
        </w:rPr>
        <w:t>）実施方法について</w:t>
      </w:r>
    </w:p>
    <w:p w:rsidR="00AD4ABE" w:rsidRDefault="00AD4ABE" w:rsidP="00AD4ABE">
      <w:pPr>
        <w:spacing w:line="300" w:lineRule="exact"/>
        <w:ind w:leftChars="200" w:left="420" w:firstLineChars="100" w:firstLine="160"/>
        <w:rPr>
          <w:sz w:val="16"/>
          <w:szCs w:val="16"/>
        </w:rPr>
      </w:pPr>
      <w:r>
        <w:rPr>
          <w:rFonts w:hint="eastAsia"/>
          <w:sz w:val="16"/>
          <w:szCs w:val="16"/>
        </w:rPr>
        <w:t xml:space="preserve">①　</w:t>
      </w:r>
      <w:r>
        <w:rPr>
          <w:sz w:val="16"/>
          <w:szCs w:val="16"/>
        </w:rPr>
        <w:t>SDV</w:t>
      </w:r>
      <w:r>
        <w:rPr>
          <w:rFonts w:hint="eastAsia"/>
          <w:sz w:val="16"/>
          <w:szCs w:val="16"/>
        </w:rPr>
        <w:t>時に治験依頼者がシステム画面を直接閲覧することができる。</w:t>
      </w:r>
    </w:p>
    <w:p w:rsidR="00AD4ABE" w:rsidRDefault="00AD4ABE" w:rsidP="00AD4ABE">
      <w:pPr>
        <w:spacing w:line="300" w:lineRule="exact"/>
        <w:ind w:leftChars="200" w:left="420" w:firstLineChars="100" w:firstLine="160"/>
        <w:rPr>
          <w:sz w:val="16"/>
          <w:szCs w:val="16"/>
        </w:rPr>
      </w:pPr>
      <w:r>
        <w:rPr>
          <w:rFonts w:hint="eastAsia"/>
          <w:sz w:val="16"/>
          <w:szCs w:val="16"/>
        </w:rPr>
        <w:t>②　治験依頼者が必要な時に利用できるようモニタリング用システム端末が３台確保されている。</w:t>
      </w:r>
    </w:p>
    <w:p w:rsidR="00AD4ABE" w:rsidRDefault="00AD4ABE" w:rsidP="00AD4ABE">
      <w:pPr>
        <w:spacing w:line="300" w:lineRule="exact"/>
        <w:ind w:leftChars="200" w:left="420" w:firstLineChars="100" w:firstLine="160"/>
        <w:rPr>
          <w:sz w:val="16"/>
          <w:szCs w:val="16"/>
        </w:rPr>
      </w:pPr>
      <w:r>
        <w:rPr>
          <w:rFonts w:hint="eastAsia"/>
          <w:sz w:val="16"/>
          <w:szCs w:val="16"/>
        </w:rPr>
        <w:t>③　治験依頼者専用の</w:t>
      </w:r>
      <w:r>
        <w:rPr>
          <w:sz w:val="16"/>
          <w:szCs w:val="16"/>
        </w:rPr>
        <w:t>ID</w:t>
      </w:r>
      <w:r>
        <w:rPr>
          <w:rFonts w:hint="eastAsia"/>
          <w:sz w:val="16"/>
          <w:szCs w:val="16"/>
        </w:rPr>
        <w:t>は参照用画面にアクセスし、データの編集は出来ない。</w:t>
      </w:r>
    </w:p>
    <w:p w:rsidR="00AD4ABE" w:rsidRDefault="00AD4ABE" w:rsidP="00AD4ABE">
      <w:pPr>
        <w:spacing w:line="300" w:lineRule="exact"/>
        <w:ind w:leftChars="200" w:left="420" w:firstLineChars="100" w:firstLine="160"/>
        <w:rPr>
          <w:sz w:val="16"/>
          <w:szCs w:val="16"/>
        </w:rPr>
      </w:pPr>
      <w:r>
        <w:rPr>
          <w:rFonts w:hint="eastAsia"/>
          <w:sz w:val="16"/>
          <w:szCs w:val="16"/>
        </w:rPr>
        <w:t>④　閲覧の際は担当職員がカルテを開く。</w:t>
      </w:r>
    </w:p>
    <w:p w:rsidR="00AD4ABE" w:rsidRDefault="00AD4ABE" w:rsidP="00AD4ABE">
      <w:pPr>
        <w:spacing w:line="300" w:lineRule="exact"/>
        <w:ind w:leftChars="200" w:left="420" w:firstLineChars="100" w:firstLine="160"/>
        <w:rPr>
          <w:sz w:val="16"/>
          <w:szCs w:val="16"/>
        </w:rPr>
      </w:pPr>
      <w:r>
        <w:rPr>
          <w:rFonts w:hint="eastAsia"/>
          <w:sz w:val="16"/>
          <w:szCs w:val="16"/>
        </w:rPr>
        <w:t>⑥　システムは初心者でも操作が容易。また院内で必要なインストラクションを受けとることが可能。</w:t>
      </w:r>
    </w:p>
    <w:p w:rsidR="006E3A8C" w:rsidRPr="00AD4ABE" w:rsidRDefault="00AD4ABE" w:rsidP="00AD4ABE">
      <w:pPr>
        <w:spacing w:line="300" w:lineRule="exact"/>
        <w:ind w:leftChars="200" w:left="420" w:firstLineChars="100" w:firstLine="160"/>
        <w:rPr>
          <w:sz w:val="16"/>
          <w:szCs w:val="16"/>
        </w:rPr>
      </w:pPr>
      <w:r>
        <w:rPr>
          <w:rFonts w:hint="eastAsia"/>
          <w:sz w:val="16"/>
          <w:szCs w:val="16"/>
        </w:rPr>
        <w:t>⑦　操作のためのマニュアルが準備されている。</w:t>
      </w:r>
    </w:p>
    <w:sectPr w:rsidR="006E3A8C" w:rsidRPr="00AD4A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D2A67"/>
    <w:multiLevelType w:val="hybridMultilevel"/>
    <w:tmpl w:val="E6A4B846"/>
    <w:lvl w:ilvl="0" w:tplc="83721C60">
      <w:start w:val="3"/>
      <w:numFmt w:val="decimal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D8E1253"/>
    <w:multiLevelType w:val="hybridMultilevel"/>
    <w:tmpl w:val="E27423B8"/>
    <w:lvl w:ilvl="0" w:tplc="A62A4434">
      <w:start w:val="2"/>
      <w:numFmt w:val="decimalEnclosedCircle"/>
      <w:lvlText w:val="%1"/>
      <w:lvlJc w:val="left"/>
      <w:pPr>
        <w:tabs>
          <w:tab w:val="num" w:pos="840"/>
        </w:tabs>
        <w:ind w:left="840" w:hanging="36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C6"/>
    <w:rsid w:val="0018608C"/>
    <w:rsid w:val="001C4DC6"/>
    <w:rsid w:val="003267E9"/>
    <w:rsid w:val="00402DD2"/>
    <w:rsid w:val="00571BE8"/>
    <w:rsid w:val="00AD4ABE"/>
    <w:rsid w:val="00C5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治験-3</dc:creator>
  <cp:lastModifiedBy>治験-3</cp:lastModifiedBy>
  <cp:revision>4</cp:revision>
  <dcterms:created xsi:type="dcterms:W3CDTF">2014-03-11T08:18:00Z</dcterms:created>
  <dcterms:modified xsi:type="dcterms:W3CDTF">2015-04-01T05:34:00Z</dcterms:modified>
</cp:coreProperties>
</file>